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FA91" w14:textId="5A2FF376" w:rsidR="00845E74" w:rsidRDefault="00702B2C" w:rsidP="007F13DD">
      <w:pPr>
        <w:jc w:val="center"/>
        <w:rPr>
          <w:b/>
          <w:bCs/>
          <w:sz w:val="24"/>
          <w:szCs w:val="24"/>
          <w:u w:val="single"/>
        </w:rPr>
      </w:pPr>
      <w:r w:rsidRPr="00702B2C">
        <w:rPr>
          <w:b/>
          <w:bCs/>
          <w:sz w:val="24"/>
          <w:szCs w:val="24"/>
          <w:u w:val="single"/>
        </w:rPr>
        <w:t>Theoretical, Evidence</w:t>
      </w:r>
      <w:r w:rsidR="00F718DB" w:rsidRPr="00702B2C">
        <w:rPr>
          <w:b/>
          <w:bCs/>
          <w:sz w:val="24"/>
          <w:szCs w:val="24"/>
          <w:u w:val="single"/>
        </w:rPr>
        <w:t>-</w:t>
      </w:r>
      <w:r w:rsidRPr="00702B2C">
        <w:rPr>
          <w:b/>
          <w:bCs/>
          <w:sz w:val="24"/>
          <w:szCs w:val="24"/>
          <w:u w:val="single"/>
        </w:rPr>
        <w:t xml:space="preserve">informed </w:t>
      </w:r>
      <w:r w:rsidR="00387274">
        <w:rPr>
          <w:b/>
          <w:bCs/>
          <w:sz w:val="24"/>
          <w:szCs w:val="24"/>
          <w:u w:val="single"/>
        </w:rPr>
        <w:t>A</w:t>
      </w:r>
      <w:r w:rsidRPr="00702B2C">
        <w:rPr>
          <w:b/>
          <w:bCs/>
          <w:sz w:val="24"/>
          <w:szCs w:val="24"/>
          <w:u w:val="single"/>
        </w:rPr>
        <w:t>nd</w:t>
      </w:r>
      <w:r w:rsidR="00F718DB" w:rsidRPr="00702B2C">
        <w:rPr>
          <w:b/>
          <w:bCs/>
          <w:sz w:val="24"/>
          <w:szCs w:val="24"/>
          <w:u w:val="single"/>
        </w:rPr>
        <w:t xml:space="preserve"> C</w:t>
      </w:r>
      <w:r w:rsidR="00033BA1" w:rsidRPr="00702B2C">
        <w:rPr>
          <w:b/>
          <w:bCs/>
          <w:sz w:val="24"/>
          <w:szCs w:val="24"/>
          <w:u w:val="single"/>
        </w:rPr>
        <w:t>o</w:t>
      </w:r>
      <w:r w:rsidR="009D09EE" w:rsidRPr="00702B2C">
        <w:rPr>
          <w:b/>
          <w:bCs/>
          <w:sz w:val="24"/>
          <w:szCs w:val="24"/>
          <w:u w:val="single"/>
        </w:rPr>
        <w:t>-design</w:t>
      </w:r>
      <w:r w:rsidR="00033BA1" w:rsidRPr="00702B2C">
        <w:rPr>
          <w:b/>
          <w:bCs/>
          <w:sz w:val="24"/>
          <w:szCs w:val="24"/>
          <w:u w:val="single"/>
        </w:rPr>
        <w:t xml:space="preserve">ed </w:t>
      </w:r>
      <w:r w:rsidR="00F718DB" w:rsidRPr="00702B2C">
        <w:rPr>
          <w:b/>
          <w:bCs/>
          <w:sz w:val="24"/>
          <w:szCs w:val="24"/>
          <w:u w:val="single"/>
        </w:rPr>
        <w:t xml:space="preserve">Health </w:t>
      </w:r>
      <w:r w:rsidR="00432B78" w:rsidRPr="00702B2C">
        <w:rPr>
          <w:b/>
          <w:bCs/>
          <w:sz w:val="24"/>
          <w:szCs w:val="24"/>
          <w:u w:val="single"/>
        </w:rPr>
        <w:t>I</w:t>
      </w:r>
      <w:r w:rsidR="0008719F">
        <w:rPr>
          <w:b/>
          <w:bCs/>
          <w:sz w:val="24"/>
          <w:szCs w:val="24"/>
          <w:u w:val="single"/>
        </w:rPr>
        <w:t>nnovation</w:t>
      </w:r>
      <w:r w:rsidR="00F718DB" w:rsidRPr="00702B2C">
        <w:rPr>
          <w:b/>
          <w:bCs/>
          <w:sz w:val="24"/>
          <w:szCs w:val="24"/>
          <w:u w:val="single"/>
        </w:rPr>
        <w:t xml:space="preserve"> </w:t>
      </w:r>
      <w:r w:rsidR="0008719F">
        <w:rPr>
          <w:b/>
          <w:bCs/>
          <w:sz w:val="24"/>
          <w:szCs w:val="24"/>
          <w:u w:val="single"/>
        </w:rPr>
        <w:t>T</w:t>
      </w:r>
      <w:r w:rsidRPr="00702B2C">
        <w:rPr>
          <w:b/>
          <w:bCs/>
          <w:sz w:val="24"/>
          <w:szCs w:val="24"/>
          <w:u w:val="single"/>
        </w:rPr>
        <w:t>eam</w:t>
      </w:r>
      <w:r w:rsidR="0008719F">
        <w:rPr>
          <w:b/>
          <w:bCs/>
          <w:sz w:val="24"/>
          <w:szCs w:val="24"/>
          <w:u w:val="single"/>
        </w:rPr>
        <w:t>work</w:t>
      </w:r>
      <w:r w:rsidRPr="00702B2C">
        <w:rPr>
          <w:b/>
          <w:bCs/>
          <w:sz w:val="24"/>
          <w:szCs w:val="24"/>
          <w:u w:val="single"/>
        </w:rPr>
        <w:t xml:space="preserve"> (</w:t>
      </w:r>
      <w:r w:rsidR="003D0A90" w:rsidRPr="00702B2C">
        <w:rPr>
          <w:b/>
          <w:bCs/>
          <w:sz w:val="24"/>
          <w:szCs w:val="24"/>
          <w:u w:val="single"/>
        </w:rPr>
        <w:t>TEACH</w:t>
      </w:r>
      <w:r w:rsidR="006D3AF2" w:rsidRPr="00702B2C">
        <w:rPr>
          <w:b/>
          <w:bCs/>
          <w:sz w:val="24"/>
          <w:szCs w:val="24"/>
          <w:u w:val="single"/>
        </w:rPr>
        <w:t>-</w:t>
      </w:r>
      <w:r w:rsidR="0008719F">
        <w:rPr>
          <w:b/>
          <w:bCs/>
          <w:sz w:val="24"/>
          <w:szCs w:val="24"/>
          <w:u w:val="single"/>
        </w:rPr>
        <w:t>IT</w:t>
      </w:r>
      <w:r w:rsidR="003D0A90" w:rsidRPr="00702B2C">
        <w:rPr>
          <w:b/>
          <w:bCs/>
          <w:sz w:val="24"/>
          <w:szCs w:val="24"/>
          <w:u w:val="single"/>
        </w:rPr>
        <w:t>)</w:t>
      </w:r>
    </w:p>
    <w:p w14:paraId="4B0633E8" w14:textId="18E4A5D5" w:rsidR="00524794" w:rsidRDefault="00524794" w:rsidP="007F13DD">
      <w:pPr>
        <w:jc w:val="center"/>
        <w:rPr>
          <w:b/>
          <w:bCs/>
          <w:sz w:val="24"/>
          <w:szCs w:val="24"/>
          <w:u w:val="single"/>
        </w:rPr>
      </w:pPr>
      <w:r>
        <w:rPr>
          <w:b/>
          <w:bCs/>
          <w:sz w:val="24"/>
          <w:szCs w:val="24"/>
          <w:u w:val="single"/>
        </w:rPr>
        <w:t>Joy C MacDermid PhD</w:t>
      </w:r>
    </w:p>
    <w:p w14:paraId="6DA120C5" w14:textId="77777777" w:rsidR="007F13DD" w:rsidRDefault="007F13DD" w:rsidP="007F13DD">
      <w:pPr>
        <w:jc w:val="center"/>
        <w:rPr>
          <w:b/>
          <w:bCs/>
          <w:sz w:val="24"/>
          <w:szCs w:val="24"/>
          <w:u w:val="single"/>
        </w:rPr>
      </w:pPr>
    </w:p>
    <w:p w14:paraId="61AB8A4E" w14:textId="16BAA9EF" w:rsidR="00F7045D" w:rsidRPr="008E1DC7" w:rsidRDefault="007F13DD" w:rsidP="008F16B5">
      <w:pPr>
        <w:pStyle w:val="ListParagraph"/>
        <w:numPr>
          <w:ilvl w:val="0"/>
          <w:numId w:val="4"/>
        </w:numPr>
        <w:rPr>
          <w:b/>
          <w:bCs/>
          <w:sz w:val="24"/>
          <w:szCs w:val="24"/>
        </w:rPr>
      </w:pPr>
      <w:r>
        <w:rPr>
          <w:b/>
          <w:bCs/>
          <w:noProof/>
          <w:sz w:val="24"/>
          <w:szCs w:val="24"/>
        </w:rPr>
        <w:drawing>
          <wp:anchor distT="0" distB="0" distL="114300" distR="114300" simplePos="0" relativeHeight="251659264" behindDoc="0" locked="0" layoutInCell="1" allowOverlap="1" wp14:anchorId="73B6AE8D" wp14:editId="6C8CA7C0">
            <wp:simplePos x="0" y="0"/>
            <wp:positionH relativeFrom="margin">
              <wp:posOffset>-5379</wp:posOffset>
            </wp:positionH>
            <wp:positionV relativeFrom="paragraph">
              <wp:posOffset>179929</wp:posOffset>
            </wp:positionV>
            <wp:extent cx="2852420" cy="7132320"/>
            <wp:effectExtent l="0" t="0" r="5080" b="0"/>
            <wp:wrapSquare wrapText="bothSides"/>
            <wp:docPr id="34316046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60468" name="Picture 1" descr="A close-up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420" cy="7132320"/>
                    </a:xfrm>
                    <a:prstGeom prst="rect">
                      <a:avLst/>
                    </a:prstGeom>
                  </pic:spPr>
                </pic:pic>
              </a:graphicData>
            </a:graphic>
            <wp14:sizeRelH relativeFrom="page">
              <wp14:pctWidth>0</wp14:pctWidth>
            </wp14:sizeRelH>
            <wp14:sizeRelV relativeFrom="page">
              <wp14:pctHeight>0</wp14:pctHeight>
            </wp14:sizeRelV>
          </wp:anchor>
        </w:drawing>
      </w:r>
      <w:r w:rsidR="00F7045D" w:rsidRPr="008E1DC7">
        <w:rPr>
          <w:b/>
          <w:bCs/>
          <w:sz w:val="24"/>
          <w:szCs w:val="24"/>
        </w:rPr>
        <w:t>Defin</w:t>
      </w:r>
      <w:r w:rsidR="00D94444" w:rsidRPr="008E1DC7">
        <w:rPr>
          <w:b/>
          <w:bCs/>
          <w:sz w:val="24"/>
          <w:szCs w:val="24"/>
        </w:rPr>
        <w:t>e</w:t>
      </w:r>
      <w:r w:rsidR="00F718DB" w:rsidRPr="008E1DC7">
        <w:rPr>
          <w:b/>
          <w:bCs/>
          <w:sz w:val="24"/>
          <w:szCs w:val="24"/>
        </w:rPr>
        <w:t xml:space="preserve"> </w:t>
      </w:r>
      <w:r w:rsidR="00D94444" w:rsidRPr="008E1DC7">
        <w:rPr>
          <w:b/>
          <w:bCs/>
          <w:sz w:val="24"/>
          <w:szCs w:val="24"/>
        </w:rPr>
        <w:t xml:space="preserve">Potential </w:t>
      </w:r>
      <w:r w:rsidR="005C2142" w:rsidRPr="008E1DC7">
        <w:rPr>
          <w:b/>
          <w:bCs/>
          <w:sz w:val="24"/>
          <w:szCs w:val="24"/>
        </w:rPr>
        <w:t>U</w:t>
      </w:r>
      <w:r w:rsidR="00D94444" w:rsidRPr="008E1DC7">
        <w:rPr>
          <w:b/>
          <w:bCs/>
          <w:sz w:val="24"/>
          <w:szCs w:val="24"/>
        </w:rPr>
        <w:t xml:space="preserve">sers, </w:t>
      </w:r>
      <w:r w:rsidR="00F718DB" w:rsidRPr="008E1DC7">
        <w:rPr>
          <w:b/>
          <w:bCs/>
          <w:sz w:val="24"/>
          <w:szCs w:val="24"/>
        </w:rPr>
        <w:t>Problems and Intervention</w:t>
      </w:r>
      <w:r w:rsidR="00F7045D" w:rsidRPr="008E1DC7">
        <w:rPr>
          <w:b/>
          <w:bCs/>
          <w:sz w:val="24"/>
          <w:szCs w:val="24"/>
        </w:rPr>
        <w:t xml:space="preserve"> Scope and Goals</w:t>
      </w:r>
    </w:p>
    <w:p w14:paraId="4619C983" w14:textId="4D42A3F4" w:rsidR="00702B2C" w:rsidRDefault="009D09EE" w:rsidP="00D94444">
      <w:pPr>
        <w:pStyle w:val="ListParagraph"/>
        <w:numPr>
          <w:ilvl w:val="1"/>
          <w:numId w:val="7"/>
        </w:numPr>
        <w:rPr>
          <w:sz w:val="24"/>
          <w:szCs w:val="24"/>
        </w:rPr>
      </w:pPr>
      <w:r w:rsidRPr="00702B2C">
        <w:rPr>
          <w:sz w:val="24"/>
          <w:szCs w:val="24"/>
        </w:rPr>
        <w:t>Identif</w:t>
      </w:r>
      <w:r w:rsidR="00D94444" w:rsidRPr="00702B2C">
        <w:rPr>
          <w:sz w:val="24"/>
          <w:szCs w:val="24"/>
        </w:rPr>
        <w:t>y Target Users</w:t>
      </w:r>
      <w:r w:rsidR="0008719F">
        <w:rPr>
          <w:sz w:val="24"/>
          <w:szCs w:val="24"/>
        </w:rPr>
        <w:t xml:space="preserve"> (Patients and providers)</w:t>
      </w:r>
    </w:p>
    <w:p w14:paraId="58B1E500" w14:textId="63461E6B" w:rsidR="009D09EE" w:rsidRDefault="001E6244" w:rsidP="0008719F">
      <w:pPr>
        <w:pStyle w:val="ListParagraph"/>
        <w:numPr>
          <w:ilvl w:val="2"/>
          <w:numId w:val="7"/>
        </w:numPr>
        <w:rPr>
          <w:sz w:val="24"/>
          <w:szCs w:val="24"/>
        </w:rPr>
      </w:pPr>
      <w:r>
        <w:rPr>
          <w:sz w:val="24"/>
          <w:szCs w:val="24"/>
        </w:rPr>
        <w:t>R</w:t>
      </w:r>
      <w:r w:rsidR="005C2142">
        <w:rPr>
          <w:sz w:val="24"/>
          <w:szCs w:val="24"/>
        </w:rPr>
        <w:t xml:space="preserve">elationships, </w:t>
      </w:r>
      <w:r w:rsidR="0008719F">
        <w:rPr>
          <w:sz w:val="24"/>
          <w:szCs w:val="24"/>
        </w:rPr>
        <w:t>patient partners</w:t>
      </w:r>
      <w:r w:rsidR="0060091D">
        <w:rPr>
          <w:sz w:val="24"/>
          <w:szCs w:val="24"/>
        </w:rPr>
        <w:fldChar w:fldCharType="begin" w:fldLock="1"/>
      </w:r>
      <w:r w:rsidR="0060091D">
        <w:rPr>
          <w:sz w:val="24"/>
          <w:szCs w:val="24"/>
        </w:rPr>
        <w:instrText>ADDIN CSL_CITATION {"citationItems":[{"id":"ITEM-1","itemData":{"DOI":"10.1111/hex.13040","ISSN":"13697625","PMID":"32157777","abstract":"Background: Realizing patient partnership in research requires a shift from patient participation in ancillary roles to engagement as contributing members of research teams. While engaging patient partners is often discussed, impact is rarely measured. Objective: Our primary aim was to conduct a scoping review of the impact of patient partnership on research outcomes. The secondary aim was to describe barriers and facilitators to realizing effective partnerships. Search Strategy: A comprehensive bibliographic search was undertaken in EBSCO CINAHL, and Embase, MEDLINE and PsycINFO via Ovid. Reference lists of included articles were hand-searched. Inclusion Criteria: Included studies were: (a) related to health care; (b) involved patients or proxies in the research process; and (c) reported results related to impact/evaluation of patient partnership on research outcomes. Data Extraction and Synthesis: Data were extracted from 14 studies meeting inclusion criteria using a narrative synthesis approach. Main Results: Patient partners were involved in a range of research activities. Results highlight critical barriers and facilitators for researchers seeking to undertake patient partnerships to be aware of, such as power imbalances between patient partners and researchers, as well as valuing of patient partner roles. Discussion: Addressing power dynamics in patient partner-researcher relationships and mitigating risks to patient partners through inclusive recruitment and training strategies may contribute towards effective engagement. Further guidance is needed to address evaluation strategies for patient partnerships across the continuum of patient partner involvement in research. Conclusions: Research teams can employ preparation strategies outlined in this review to support patient partnerships in their work.","author":[{"dropping-particle":"","family":"Bird","given":"Marissa","non-dropping-particle":"","parse-names":false,"suffix":""},{"dropping-particle":"","family":"Ouellette","given":"Carley","non-dropping-particle":"","parse-names":false,"suffix":""},{"dropping-particle":"","family":"Whitmore","given":"Carly","non-dropping-particle":"","parse-names":false,"suffix":""},{"dropping-particle":"","family":"Li","given":"Lin","non-dropping-particle":"","parse-names":false,"suffix":""},{"dropping-particle":"","family":"Nair","given":"Kalpana","non-dropping-particle":"","parse-names":false,"suffix":""},{"dropping-particle":"","family":"McGillion","given":"Michael H.","non-dropping-particle":"","parse-names":false,"suffix":""},{"dropping-particle":"","family":"Yost","given":"Jennifer","non-dropping-particle":"","parse-names":false,"suffix":""},{"dropping-particle":"","family":"Banfield","given":"Laura","non-dropping-particle":"","parse-names":false,"suffix":""},{"dropping-particle":"","family":"Campbell","given":"Elaine","non-dropping-particle":"","parse-names":false,"suffix":""},{"dropping-particle":"","family":"Carroll","given":"Sandra L.","non-dropping-particle":"","parse-names":false,"suffix":""}],"container-title":"Health Expectations","id":"ITEM-1","issue":"3","issued":{"date-parts":[["2020"]]},"page":"523-539","title":"Preparing for patient partnership: A scoping review of patient partner engagement and evaluation in research","type":"article-journal","volume":"23"},"uris":["http://www.mendeley.com/documents/?uuid=80440a40-86aa-4671-a55e-8e9d0c1fbf33"]},{"id":"ITEM-2","itemData":{"DOI":"10.1186/s12961-022-00937-9","ISSN":"14784505","PMID":"36604697","abstract":"Objective: To identify and assess the globally available valid, reliable and acceptable tools for assessing health research partnership outcomes and impacts. Methods: We searched Ovid MEDLINE, Embase, CINAHL Plus and PsycINFO from origin to 2 June 2021, without limits, using an a priori strategy and registered protocol. We screened citations independently and in duplicate, resolving discrepancies by consensus and retaining studies involving health research partnerships, the development, use and/or assessment of tools to evaluate partnership outcomes and impacts, and reporting empirical psychometric evidence. Study, tool, psychometric and pragmatic characteristics were abstracted using a hybrid approach, then synthesized using descriptive statistics and thematic analysis. Study quality was assessed using the quality of survey studies in psychology (Q-SSP) checklist. Results: From 56 123 total citations, we screened 36 027 citations, assessed 2784 full-text papers, abstracted data from 48 studies and one companion report, and identified 58 tools. Most tools comprised surveys, questionnaires and scales. Studies used cross-sectional or mixed-method/embedded survey designs and employed quantitative and mixed methods. Both studies and tools were conceptually well grounded, focusing mainly on outcomes, then process, and less frequently on impact measurement. Multiple forms of empirical validity and reliability evidence was present for most tools; however, psychometric characteristics were inconsistently assessed and reported. We identified a subset of studies (22) and accompanying tools distinguished by their empirical psychometric, pragmatic and study quality characteristics. While our review demonstrated psychometric and pragmatic improvements over previous reviews, challenges related to health research partnership assessment and the nascency of partnership science persist. Conclusion: This systematic review identified multiple tools demonstrating empirical psychometric evidence, pragmatic strength and moderate study quality. Increased attention to psychometric and pragmatic requirements in tool development, testing and reporting is key to advancing health research partnership assessment and partnership science. PROSPERO CRD42021137932","author":[{"dropping-particle":"","family":"Mrklas","given":"K. J.","non-dropping-particle":"","parse-names":false,"suffix":""},{"dropping-particle":"","family":"Boyd","given":"J. M.","non-dropping-particle":"","parse-names":false,"suffix":""},{"dropping-particle":"","family":"Shergill","given":"S.","non-dropping-particle":"","parse-names":false,"suffix":""},{"dropping-particle":"","family":"Merali","given":"S.","non-dropping-particle":"","parse-names":false,"suffix":""},{"dropping-particle":"","family":"Khan","given":"M.","non-dropping-particle":"","parse-names":false,"suffix":""},{"dropping-particle":"","family":"Nowell","given":"L.","non-dropping-particle":"","parse-names":false,"suffix":""},{"dropping-particle":"","family":"Goertzen","given":"A.","non-dropping-particle":"","parse-names":false,"suffix":""},{"dropping-particle":"","family":"Pfadenhauer","given":"L. M.","non-dropping-particle":"","parse-names":false,"suffix":""},{"dropping-particle":"","family":"Paul","given":"K.","non-dropping-particle":"","parse-names":false,"suffix":""},{"dropping-particle":"","family":"Sibley","given":"K. M.","non-dropping-particle":"","parse-names":false,"suffix":""},{"dropping-particle":"","family":"Swain","given":"L.","non-dropping-particle":"","parse-names":false,"suffix":""},{"dropping-particle":"","family":"Vis-Dunbar","given":"M.","non-dropping-particle":"","parse-names":false,"suffix":""},{"dropping-particle":"","family":"Hill","given":"M. D.","non-dropping-particle":"","parse-names":false,"suffix":""},{"dropping-particle":"","family":"Raffin-Bouchal","given":"S.","non-dropping-particle":"","parse-names":false,"suffix":""},{"dropping-particle":"","family":"Tonelli","given":"M.","non-dropping-particle":"","parse-names":false,"suffix":""},{"dropping-particle":"","family":"Graham","given":"I. D.","non-dropping-particle":"","parse-names":false,"suffix":""}],"container-title":"Health Research Policy and Systems","id":"ITEM-2","issue":"1","issued":{"date-parts":[["2023"]]},"page":"1-30","title":"Tools for assessing health research partnership outcomes and impacts: a systematic review","type":"article-journal","volume":"21"},"uris":["http://www.mendeley.com/documents/?uuid=3b5e6823-8bff-4b9d-9af4-7f25608ae32f"]}],"mendeley":{"formattedCitation":"&lt;sup&gt;1,2&lt;/sup&gt;","plainTextFormattedCitation":"1,2","previouslyFormattedCitation":"&lt;sup&gt;1,2&lt;/sup&gt;"},"properties":{"noteIndex":0},"schema":"https://github.com/citation-style-language/schema/raw/master/csl-citation.json"}</w:instrText>
      </w:r>
      <w:r w:rsidR="0060091D">
        <w:rPr>
          <w:sz w:val="24"/>
          <w:szCs w:val="24"/>
        </w:rPr>
        <w:fldChar w:fldCharType="separate"/>
      </w:r>
      <w:r w:rsidR="0060091D" w:rsidRPr="0060091D">
        <w:rPr>
          <w:noProof/>
          <w:sz w:val="24"/>
          <w:szCs w:val="24"/>
          <w:vertAlign w:val="superscript"/>
        </w:rPr>
        <w:t>1,2</w:t>
      </w:r>
      <w:r w:rsidR="0060091D">
        <w:rPr>
          <w:sz w:val="24"/>
          <w:szCs w:val="24"/>
        </w:rPr>
        <w:fldChar w:fldCharType="end"/>
      </w:r>
      <w:r w:rsidR="0008719F">
        <w:rPr>
          <w:sz w:val="24"/>
          <w:szCs w:val="24"/>
        </w:rPr>
        <w:t xml:space="preserve">, </w:t>
      </w:r>
      <w:r w:rsidR="005C2142">
        <w:rPr>
          <w:sz w:val="24"/>
          <w:szCs w:val="24"/>
        </w:rPr>
        <w:t>e</w:t>
      </w:r>
      <w:r w:rsidR="009D09EE" w:rsidRPr="008464D0">
        <w:rPr>
          <w:sz w:val="24"/>
          <w:szCs w:val="24"/>
        </w:rPr>
        <w:t xml:space="preserve">arly </w:t>
      </w:r>
      <w:r w:rsidR="008E1DC7">
        <w:rPr>
          <w:sz w:val="24"/>
          <w:szCs w:val="24"/>
        </w:rPr>
        <w:t>a</w:t>
      </w:r>
      <w:r w:rsidR="009D09EE" w:rsidRPr="008464D0">
        <w:rPr>
          <w:sz w:val="24"/>
          <w:szCs w:val="24"/>
        </w:rPr>
        <w:t>dopters</w:t>
      </w:r>
      <w:r w:rsidR="0008719F">
        <w:rPr>
          <w:sz w:val="24"/>
          <w:szCs w:val="24"/>
        </w:rPr>
        <w:t>,</w:t>
      </w:r>
      <w:r w:rsidR="008F16B5" w:rsidRPr="008464D0">
        <w:rPr>
          <w:sz w:val="24"/>
          <w:szCs w:val="24"/>
        </w:rPr>
        <w:t xml:space="preserve"> o</w:t>
      </w:r>
      <w:r w:rsidR="002F13D3" w:rsidRPr="008464D0">
        <w:rPr>
          <w:sz w:val="24"/>
          <w:szCs w:val="24"/>
        </w:rPr>
        <w:t xml:space="preserve">pinion </w:t>
      </w:r>
      <w:r w:rsidR="00702B2C" w:rsidRPr="008464D0">
        <w:rPr>
          <w:sz w:val="24"/>
          <w:szCs w:val="24"/>
        </w:rPr>
        <w:t>leaders</w:t>
      </w:r>
      <w:r w:rsidR="0008719F">
        <w:rPr>
          <w:sz w:val="24"/>
          <w:szCs w:val="24"/>
        </w:rPr>
        <w:t xml:space="preserve"> and stakeholders</w:t>
      </w:r>
    </w:p>
    <w:p w14:paraId="75656AF7" w14:textId="77777777" w:rsidR="0008719F" w:rsidRPr="0008719F" w:rsidRDefault="0008719F" w:rsidP="0008719F">
      <w:pPr>
        <w:pStyle w:val="ListParagraph"/>
        <w:numPr>
          <w:ilvl w:val="1"/>
          <w:numId w:val="7"/>
        </w:numPr>
        <w:rPr>
          <w:sz w:val="24"/>
          <w:szCs w:val="24"/>
        </w:rPr>
      </w:pPr>
      <w:r w:rsidRPr="0008719F">
        <w:rPr>
          <w:sz w:val="24"/>
          <w:szCs w:val="24"/>
        </w:rPr>
        <w:t>Identify Internal/external Context Factors</w:t>
      </w:r>
    </w:p>
    <w:p w14:paraId="73B86DFA" w14:textId="201973C8" w:rsidR="001E6244" w:rsidRPr="008464D0" w:rsidRDefault="001E6244" w:rsidP="0008719F">
      <w:pPr>
        <w:pStyle w:val="ListParagraph"/>
        <w:numPr>
          <w:ilvl w:val="1"/>
          <w:numId w:val="7"/>
        </w:numPr>
        <w:rPr>
          <w:sz w:val="24"/>
          <w:szCs w:val="24"/>
        </w:rPr>
      </w:pPr>
      <w:r>
        <w:rPr>
          <w:sz w:val="24"/>
          <w:szCs w:val="24"/>
        </w:rPr>
        <w:t>Identify Gaps</w:t>
      </w:r>
      <w:r w:rsidR="0008719F">
        <w:rPr>
          <w:sz w:val="24"/>
          <w:szCs w:val="24"/>
        </w:rPr>
        <w:t xml:space="preserve"> to be </w:t>
      </w:r>
      <w:proofErr w:type="gramStart"/>
      <w:r w:rsidR="0008719F">
        <w:rPr>
          <w:sz w:val="24"/>
          <w:szCs w:val="24"/>
        </w:rPr>
        <w:t>addressed</w:t>
      </w:r>
      <w:r>
        <w:rPr>
          <w:sz w:val="24"/>
          <w:szCs w:val="24"/>
        </w:rPr>
        <w:t xml:space="preserve">,  </w:t>
      </w:r>
      <w:r w:rsidR="0008719F">
        <w:rPr>
          <w:sz w:val="24"/>
          <w:szCs w:val="24"/>
        </w:rPr>
        <w:t>Clinical</w:t>
      </w:r>
      <w:proofErr w:type="gramEnd"/>
      <w:r w:rsidR="0008719F">
        <w:rPr>
          <w:sz w:val="24"/>
          <w:szCs w:val="24"/>
        </w:rPr>
        <w:t xml:space="preserve"> </w:t>
      </w:r>
      <w:r>
        <w:rPr>
          <w:sz w:val="24"/>
          <w:szCs w:val="24"/>
        </w:rPr>
        <w:t>Goals, Scope</w:t>
      </w:r>
      <w:r w:rsidR="0008719F">
        <w:rPr>
          <w:sz w:val="24"/>
          <w:szCs w:val="24"/>
        </w:rPr>
        <w:t xml:space="preserve"> of Innovation Plan</w:t>
      </w:r>
    </w:p>
    <w:p w14:paraId="1567D98C" w14:textId="56A62EE3" w:rsidR="00432B78" w:rsidRPr="008464D0" w:rsidRDefault="00432B78" w:rsidP="00432B78">
      <w:pPr>
        <w:pStyle w:val="ListParagraph"/>
        <w:ind w:left="792"/>
        <w:rPr>
          <w:sz w:val="24"/>
          <w:szCs w:val="24"/>
        </w:rPr>
      </w:pPr>
    </w:p>
    <w:p w14:paraId="6F80313C" w14:textId="52467709" w:rsidR="00F718DB" w:rsidRPr="008464D0" w:rsidRDefault="00F718DB" w:rsidP="00D94444">
      <w:pPr>
        <w:pStyle w:val="ListParagraph"/>
        <w:numPr>
          <w:ilvl w:val="0"/>
          <w:numId w:val="7"/>
        </w:numPr>
        <w:rPr>
          <w:sz w:val="24"/>
          <w:szCs w:val="24"/>
        </w:rPr>
      </w:pPr>
      <w:bookmarkStart w:id="0" w:name="_Hlk182457453"/>
      <w:r w:rsidRPr="008E1DC7">
        <w:rPr>
          <w:b/>
          <w:bCs/>
          <w:sz w:val="24"/>
          <w:szCs w:val="24"/>
        </w:rPr>
        <w:t>Identify relevant conceptual frameworks</w:t>
      </w:r>
      <w:r w:rsidR="008F16B5" w:rsidRPr="008E1DC7">
        <w:rPr>
          <w:b/>
          <w:bCs/>
          <w:sz w:val="24"/>
          <w:szCs w:val="24"/>
        </w:rPr>
        <w:t>, theories</w:t>
      </w:r>
      <w:r w:rsidR="001E6244">
        <w:rPr>
          <w:b/>
          <w:bCs/>
          <w:sz w:val="24"/>
          <w:szCs w:val="24"/>
        </w:rPr>
        <w:t>, research evidence</w:t>
      </w:r>
      <w:r w:rsidRPr="008E1DC7">
        <w:rPr>
          <w:b/>
          <w:bCs/>
          <w:sz w:val="24"/>
          <w:szCs w:val="24"/>
        </w:rPr>
        <w:t xml:space="preserve"> and mechanisms</w:t>
      </w:r>
      <w:r w:rsidR="00432B78" w:rsidRPr="008E1DC7">
        <w:rPr>
          <w:b/>
          <w:bCs/>
          <w:sz w:val="24"/>
          <w:szCs w:val="24"/>
        </w:rPr>
        <w:t xml:space="preserve"> </w:t>
      </w:r>
      <w:bookmarkEnd w:id="0"/>
      <w:r w:rsidR="00432B78" w:rsidRPr="008E1DC7">
        <w:rPr>
          <w:b/>
          <w:bCs/>
          <w:sz w:val="24"/>
          <w:szCs w:val="24"/>
        </w:rPr>
        <w:t>for</w:t>
      </w:r>
      <w:r w:rsidR="008464D0" w:rsidRPr="008464D0">
        <w:rPr>
          <w:sz w:val="24"/>
          <w:szCs w:val="24"/>
        </w:rPr>
        <w:t>:</w:t>
      </w:r>
    </w:p>
    <w:p w14:paraId="735B1EB6" w14:textId="62FE865C" w:rsidR="00F718DB" w:rsidRPr="008464D0" w:rsidRDefault="001E6244" w:rsidP="00D94444">
      <w:pPr>
        <w:pStyle w:val="ListParagraph"/>
        <w:numPr>
          <w:ilvl w:val="1"/>
          <w:numId w:val="7"/>
        </w:numPr>
        <w:rPr>
          <w:sz w:val="24"/>
          <w:szCs w:val="24"/>
        </w:rPr>
      </w:pPr>
      <w:r>
        <w:rPr>
          <w:sz w:val="24"/>
          <w:szCs w:val="24"/>
        </w:rPr>
        <w:t xml:space="preserve">Intervention targets (Physical, Psychological, Social Health), </w:t>
      </w:r>
      <w:r w:rsidR="00F718DB" w:rsidRPr="008464D0">
        <w:rPr>
          <w:sz w:val="24"/>
          <w:szCs w:val="24"/>
        </w:rPr>
        <w:t xml:space="preserve">Skills, Knowledge and </w:t>
      </w:r>
      <w:r w:rsidR="008F16B5" w:rsidRPr="008464D0">
        <w:rPr>
          <w:sz w:val="24"/>
          <w:szCs w:val="24"/>
        </w:rPr>
        <w:t>A</w:t>
      </w:r>
      <w:r w:rsidR="00F718DB" w:rsidRPr="008464D0">
        <w:rPr>
          <w:sz w:val="24"/>
          <w:szCs w:val="24"/>
        </w:rPr>
        <w:t xml:space="preserve">ttitude </w:t>
      </w:r>
      <w:r w:rsidR="00432B78" w:rsidRPr="008464D0">
        <w:rPr>
          <w:sz w:val="24"/>
          <w:szCs w:val="24"/>
        </w:rPr>
        <w:t>T</w:t>
      </w:r>
      <w:r w:rsidR="00F718DB" w:rsidRPr="008464D0">
        <w:rPr>
          <w:sz w:val="24"/>
          <w:szCs w:val="24"/>
        </w:rPr>
        <w:t>argets</w:t>
      </w:r>
    </w:p>
    <w:p w14:paraId="2B7EC6BE" w14:textId="356369D1" w:rsidR="00F718DB" w:rsidRDefault="00F718DB" w:rsidP="00D94444">
      <w:pPr>
        <w:pStyle w:val="ListParagraph"/>
        <w:numPr>
          <w:ilvl w:val="1"/>
          <w:numId w:val="7"/>
        </w:numPr>
        <w:rPr>
          <w:sz w:val="24"/>
          <w:szCs w:val="24"/>
        </w:rPr>
      </w:pPr>
      <w:r w:rsidRPr="008464D0">
        <w:rPr>
          <w:sz w:val="24"/>
          <w:szCs w:val="24"/>
        </w:rPr>
        <w:t xml:space="preserve">Learning </w:t>
      </w:r>
      <w:r w:rsidR="008F16B5" w:rsidRPr="008464D0">
        <w:rPr>
          <w:sz w:val="24"/>
          <w:szCs w:val="24"/>
        </w:rPr>
        <w:t>/</w:t>
      </w:r>
      <w:r w:rsidRPr="008464D0">
        <w:rPr>
          <w:sz w:val="24"/>
          <w:szCs w:val="24"/>
        </w:rPr>
        <w:t>Behaviour Change</w:t>
      </w:r>
      <w:r w:rsidR="001E6244">
        <w:rPr>
          <w:sz w:val="24"/>
          <w:szCs w:val="24"/>
        </w:rPr>
        <w:t xml:space="preserve"> Mechanisms</w:t>
      </w:r>
      <w:r w:rsidR="00E54162">
        <w:rPr>
          <w:sz w:val="24"/>
          <w:szCs w:val="24"/>
        </w:rPr>
        <w:fldChar w:fldCharType="begin" w:fldLock="1"/>
      </w:r>
      <w:r w:rsidR="00E54162">
        <w:rPr>
          <w:sz w:val="24"/>
          <w:szCs w:val="24"/>
        </w:rPr>
        <w:instrText>ADDIN CSL_CITATION {"citationItems":[{"id":"ITEM-1","itemData":{"DOI":"10.1016/j.amepre.2016.06.015","ISSN":"18732607","PMID":"27745683","abstract":"This paper is one in a series developed through a process of expert consensus to provide an overview of questions of current importance in research into engagement with digital behavior change interventions, identifying guidance based on research to date and priority topics for future research. The first part of this paper critically reflects on current approaches to conceptualizing and measuring engagement. Next, issues relevant to promoting effective engagement are discussed, including how best to tailor to individual needs and combine digital and human support. A key conclusion with regard to conceptualizing engagement is that it is important to understand the relationship between engagement with the digital intervention and the desired behavior change. This paper argues that it may be more valuable to establish and promote “effective engagement,” rather than simply more engagement, with “effective engagement” defined empirically as sufficient engagement with the intervention to achieve intended outcomes. Appraisal of the value and limitations of methods of assessing different aspects of engagement highlights the need to identify valid and efficient combinations of measures to develop and test multidimensional models of engagement. The final section of the paper reflects on how interventions can be designed to fit the user and their specific needs and context. Despite many unresolved questions posed by novel and rapidly changing technologies, there is widespread consensus that successful intervention design demands a user-centered and iterative approach to development, using mixed methods and in-depth qualitative research to progressively refine the intervention to meet user requirements.","author":[{"dropping-particle":"","family":"Yardley","given":"Lucy","non-dropping-particle":"","parse-names":false,"suffix":""},{"dropping-particle":"","family":"Spring","given":"Bonnie J.","non-dropping-particle":"","parse-names":false,"suffix":""},{"dropping-particle":"","family":"Riper","given":"Heleen","non-dropping-particle":"","parse-names":false,"suffix":""},{"dropping-particle":"","family":"Morrison","given":"Leanne G.","non-dropping-particle":"","parse-names":false,"suffix":""},{"dropping-particle":"","family":"Crane","given":"David H.","non-dropping-particle":"","parse-names":false,"suffix":""},{"dropping-particle":"","family":"Curtis","given":"Kristina","non-dropping-particle":"","parse-names":false,"suffix":""},{"dropping-particle":"","family":"Merchant","given":"Gina C.","non-dropping-particle":"","parse-names":false,"suffix":""},{"dropping-particle":"","family":"Naughton","given":"Felix","non-dropping-particle":"","parse-names":false,"suffix":""},{"dropping-particle":"","family":"Blandford","given":"Ann","non-dropping-particle":"","parse-names":false,"suffix":""}],"container-title":"American Journal of Preventive Medicine","id":"ITEM-1","issue":"5","issued":{"date-parts":[["2016"]]},"page":"833-842","title":"Understanding and Promoting Effective Engagement With Digital Behavior Change Interventions","type":"article-journal","volume":"51"},"uris":["http://www.mendeley.com/documents/?uuid=5de0c6b1-d3f9-4916-b40e-b2d9dd3b6e28"]},{"id":"ITEM-2","itemData":{"DOI":"10.1027/1016-9040/a000330","ISSN":"1878531X","abstract":"More people than ever are living longer with chronic conditions such as obesity, type 2 diabetes, and heart disease. Behavior change for effective self-management can improve health outcomes and quality of life in people living with such chronic illnesses. The science of developing behavior change interventions with impact for patients aims to optimize the reach, effectiveness, adoption, implementation, and maintenance of interventions and rigorous evaluation of outcomes and processes of behavior change. The development of new services and technologies offers opportunities to enhance the scope of delivery of interventions to support behavior change and self-management at scale. Herein, we review key contemporary approaches to intervention development, provide a critical overview, and integrate these approaches into a pragmatic, user-friendly framework to rigorously guide decision-making in behavior change intervention development. Moreover, we highlight novel emerging methods for rapid and agile intervention development. On-going progress in the science of intervention development is needed to remain in step with such new developments and to continue to leverage behavioral science's capacity to contribute to optimizing interventions, modify behavior, and facilitate self-management in individuals living with chronic illness.","author":[{"dropping-particle":"","family":"Araújo-Soares","given":"Vera","non-dropping-particle":"","parse-names":false,"suffix":""},{"dropping-particle":"","family":"Hankonen","given":"Nelli","non-dropping-particle":"","parse-names":false,"suffix":""},{"dropping-particle":"","family":"Presseau","given":"Justin","non-dropping-particle":"","parse-names":false,"suffix":""},{"dropping-particle":"","family":"Rodrigues","given":"Angela","non-dropping-particle":"","parse-names":false,"suffix":""},{"dropping-particle":"","family":"Sniehotta","given":"Falko F.","non-dropping-particle":"","parse-names":false,"suffix":""}],"container-title":"European Psychologist","id":"ITEM-2","issue":"1","issued":{"date-parts":[["2019"]]},"page":"7-25","title":"Developing Behavior Change Interventions for Self-Management in Chronic Illness: An Integrative Overview","type":"article-journal","volume":"24"},"uris":["http://www.mendeley.com/documents/?uuid=3edc803a-ffd0-4705-bbfb-d1978f547bdd"]},{"id":"ITEM-3","itemData":{"DOI":"10.1037/mot0000172","ISSN":"23338121","abstract":"While evidence suggests that interventions based on self-determination theory have efficacy in motivating adoption and maintenance of health-related behaviors, and in promoting adaptive psychological outcomes, the motivational techniques that comprise the content of these interventions have not been comprehensively identified or described. The aim of the present study was to develop a classification system of the techniques that comprise self-determination theory interventions, with satisfaction of psychological needs as an organizing principle. Candidate techniques were identified through a comprehensive review of self-determination theory interventions and nomination by experts. The study team developed a preliminary list of candidate techniques accompanied by labels, definitions, and function descriptions of each. Each technique was aligned with the most closely related psychological need satisfaction construct (autonomy, competence, or relatedness). Using an iterative expert consensus procedure, participating experts (N = 18) judged each technique on the preliminary list for redundancy, essentiality, uniqueness, and the proposed link between the technique and basic psychological need. The procedure produced a final classification of 21 motivation and behavior change techniques (MBCTs). Redundancies between final MBCTs against techniques from existing behavior change technique taxonomies were also checked. The classification system is the first formal attempt to systematize self-determination theory intervention techniques. The classification is expected to enhance consistency in descriptions of self-determination theory-based interventions in health contexts, and assist in facilitating synthesis of evidence on interventions based on the theory. The classification is also expected to guide future efforts to identify, describe, and classify the techniques that comprise self-determination theory-based interventions in multiple domains. (PsycInfo Database Record (c) 2020 APA, all rights reserved)","author":[{"dropping-particle":"","family":"Teixeira","given":"Pedro J.","non-dropping-particle":"","parse-names":false,"suffix":""},{"dropping-particle":"","family":"Marques","given":"Marta M.","non-dropping-particle":"","parse-names":false,"suffix":""},{"dropping-particle":"","family":"Silva","given":"Marlene N.","non-dropping-particle":"","parse-names":false,"suffix":""},{"dropping-particle":"","family":"Brunet","given":"Jennifer","non-dropping-particle":"","parse-names":false,"suffix":""},{"dropping-particle":"","family":"Duda","given":"Joan L.","non-dropping-particle":"","parse-names":false,"suffix":""},{"dropping-particle":"","family":"Haerens","given":"Leen","non-dropping-particle":"","parse-names":false,"suffix":""},{"dropping-particle":"","family":"Guardia","given":"Jennifer","non-dropping-particle":"La","parse-names":false,"suffix":""},{"dropping-particle":"","family":"Lindwall","given":"Magnus","non-dropping-particle":"","parse-names":false,"suffix":""},{"dropping-particle":"","family":"Lonsdale","given":"Chris","non-dropping-particle":"","parse-names":false,"suffix":""},{"dropping-particle":"","family":"Markland","given":"David","non-dropping-particle":"","parse-names":false,"suffix":""},{"dropping-particle":"","family":"Michie","given":"Susan","non-dropping-particle":"","parse-names":false,"suffix":""},{"dropping-particle":"","family":"Moller","given":"Arlen C.","non-dropping-particle":"","parse-names":false,"suffix":""},{"dropping-particle":"","family":"Ntoumanis","given":"Nikos","non-dropping-particle":"","parse-names":false,"suffix":""},{"dropping-particle":"","family":"Patrick","given":"Heather","non-dropping-particle":"","parse-names":false,"suffix":""},{"dropping-particle":"","family":"Reeve","given":"Johnmarshall","non-dropping-particle":"","parse-names":false,"suffix":""},{"dropping-particle":"","family":"Ryan","given":"Richard M.","non-dropping-particle":"","parse-names":false,"suffix":""},{"dropping-particle":"","family":"Sebire","given":"Simon J.","non-dropping-particle":"","parse-names":false,"suffix":""},{"dropping-particle":"","family":"Standage","given":"Martyn","non-dropping-particle":"","parse-names":false,"suffix":""},{"dropping-particle":"","family":"Vansteenkiste","given":"Maarten","non-dropping-particle":"","parse-names":false,"suffix":""},{"dropping-particle":"","family":"Weinstein","given":"Netta","non-dropping-particle":"","parse-names":false,"suffix":""},{"dropping-particle":"","family":"Weman-Josefsson","given":"Karin","non-dropping-particle":"","parse-names":false,"suffix":""},{"dropping-particle":"","family":"Williams","given":"Geoffrey C.","non-dropping-particle":"","parse-names":false,"suffix":""},{"dropping-particle":"","family":"Hagger","given":"Martin S.","non-dropping-particle":"","parse-names":false,"suffix":""}],"container-title":"Motivation Science","id":"ITEM-3","issue":"4","issued":{"date-parts":[["2020"]]},"page":"438-455","title":"A classification of motivation and behavior change techniques used in self-determination theory-based interventions in health contexts.","type":"article-journal","volume":"6"},"uris":["http://www.mendeley.com/documents/?uuid=684dd6a2-9c52-4396-b8ac-f7699c13f650"]}],"mendeley":{"formattedCitation":"&lt;sup&gt;3–5&lt;/sup&gt;","plainTextFormattedCitation":"3–5","previouslyFormattedCitation":"&lt;sup&gt;3–5&lt;/sup&gt;"},"properties":{"noteIndex":0},"schema":"https://github.com/citation-style-language/schema/raw/master/csl-citation.json"}</w:instrText>
      </w:r>
      <w:r w:rsidR="00E54162">
        <w:rPr>
          <w:sz w:val="24"/>
          <w:szCs w:val="24"/>
        </w:rPr>
        <w:fldChar w:fldCharType="separate"/>
      </w:r>
      <w:r w:rsidR="00E54162" w:rsidRPr="00E54162">
        <w:rPr>
          <w:noProof/>
          <w:sz w:val="24"/>
          <w:szCs w:val="24"/>
          <w:vertAlign w:val="superscript"/>
        </w:rPr>
        <w:t>3–5</w:t>
      </w:r>
      <w:r w:rsidR="00E54162">
        <w:rPr>
          <w:sz w:val="24"/>
          <w:szCs w:val="24"/>
        </w:rPr>
        <w:fldChar w:fldCharType="end"/>
      </w:r>
    </w:p>
    <w:p w14:paraId="4D97122E" w14:textId="6B28E717" w:rsidR="007F13DD" w:rsidRPr="008464D0" w:rsidRDefault="007F13DD" w:rsidP="00D94444">
      <w:pPr>
        <w:pStyle w:val="ListParagraph"/>
        <w:numPr>
          <w:ilvl w:val="1"/>
          <w:numId w:val="7"/>
        </w:numPr>
        <w:rPr>
          <w:sz w:val="24"/>
          <w:szCs w:val="24"/>
        </w:rPr>
      </w:pPr>
      <w:r>
        <w:rPr>
          <w:sz w:val="24"/>
          <w:szCs w:val="24"/>
        </w:rPr>
        <w:t>Pedagogical Theory</w:t>
      </w:r>
    </w:p>
    <w:p w14:paraId="695D58BA" w14:textId="60E2C417" w:rsidR="001E6244" w:rsidRDefault="00F718DB" w:rsidP="00D94444">
      <w:pPr>
        <w:pStyle w:val="ListParagraph"/>
        <w:numPr>
          <w:ilvl w:val="1"/>
          <w:numId w:val="7"/>
        </w:numPr>
        <w:rPr>
          <w:sz w:val="24"/>
          <w:szCs w:val="24"/>
        </w:rPr>
      </w:pPr>
      <w:r w:rsidRPr="00D94444">
        <w:rPr>
          <w:sz w:val="24"/>
          <w:szCs w:val="24"/>
        </w:rPr>
        <w:t xml:space="preserve"> </w:t>
      </w:r>
      <w:r w:rsidR="001E6244">
        <w:rPr>
          <w:sz w:val="24"/>
          <w:szCs w:val="24"/>
        </w:rPr>
        <w:t xml:space="preserve">Implementation </w:t>
      </w:r>
      <w:r w:rsidR="00E772CD">
        <w:rPr>
          <w:sz w:val="24"/>
          <w:szCs w:val="24"/>
        </w:rPr>
        <w:t>Theory</w:t>
      </w:r>
    </w:p>
    <w:p w14:paraId="115AE289" w14:textId="77777777" w:rsidR="00F718DB" w:rsidRPr="008464D0" w:rsidRDefault="00F718DB" w:rsidP="00F718DB">
      <w:pPr>
        <w:pStyle w:val="ListParagraph"/>
        <w:ind w:left="1440"/>
        <w:rPr>
          <w:sz w:val="24"/>
          <w:szCs w:val="24"/>
        </w:rPr>
      </w:pPr>
    </w:p>
    <w:p w14:paraId="1249F080" w14:textId="4A0DD3D7" w:rsidR="00F7045D" w:rsidRPr="008464D0" w:rsidRDefault="00432B78" w:rsidP="00D94444">
      <w:pPr>
        <w:pStyle w:val="ListParagraph"/>
        <w:numPr>
          <w:ilvl w:val="0"/>
          <w:numId w:val="7"/>
        </w:numPr>
        <w:rPr>
          <w:sz w:val="24"/>
          <w:szCs w:val="24"/>
        </w:rPr>
      </w:pPr>
      <w:r w:rsidRPr="008464D0">
        <w:rPr>
          <w:sz w:val="24"/>
          <w:szCs w:val="24"/>
        </w:rPr>
        <w:t xml:space="preserve"> </w:t>
      </w:r>
      <w:r w:rsidRPr="008E1DC7">
        <w:rPr>
          <w:b/>
          <w:bCs/>
          <w:sz w:val="24"/>
          <w:szCs w:val="24"/>
        </w:rPr>
        <w:t xml:space="preserve">Establish </w:t>
      </w:r>
      <w:r w:rsidR="00F7045D" w:rsidRPr="008E1DC7">
        <w:rPr>
          <w:b/>
          <w:bCs/>
          <w:sz w:val="24"/>
          <w:szCs w:val="24"/>
        </w:rPr>
        <w:t xml:space="preserve">Co-design </w:t>
      </w:r>
      <w:proofErr w:type="gramStart"/>
      <w:r w:rsidR="001E2C25" w:rsidRPr="008E1DC7">
        <w:rPr>
          <w:b/>
          <w:bCs/>
          <w:sz w:val="24"/>
          <w:szCs w:val="24"/>
        </w:rPr>
        <w:t>Process</w:t>
      </w:r>
      <w:r w:rsidR="00E772CD">
        <w:rPr>
          <w:b/>
          <w:bCs/>
          <w:sz w:val="24"/>
          <w:szCs w:val="24"/>
        </w:rPr>
        <w:t xml:space="preserve">, </w:t>
      </w:r>
      <w:r w:rsidRPr="008E1DC7">
        <w:rPr>
          <w:b/>
          <w:bCs/>
          <w:sz w:val="24"/>
          <w:szCs w:val="24"/>
        </w:rPr>
        <w:t xml:space="preserve"> Needs</w:t>
      </w:r>
      <w:proofErr w:type="gramEnd"/>
      <w:r w:rsidRPr="008E1DC7">
        <w:rPr>
          <w:b/>
          <w:bCs/>
          <w:sz w:val="24"/>
          <w:szCs w:val="24"/>
        </w:rPr>
        <w:t>/Preferences</w:t>
      </w:r>
      <w:r w:rsidRPr="008464D0">
        <w:rPr>
          <w:sz w:val="24"/>
          <w:szCs w:val="24"/>
        </w:rPr>
        <w:t xml:space="preserve"> </w:t>
      </w:r>
    </w:p>
    <w:p w14:paraId="41FEDCFC" w14:textId="37101B68" w:rsidR="009D09EE" w:rsidRPr="008464D0" w:rsidRDefault="008E1DC7" w:rsidP="00D94444">
      <w:pPr>
        <w:pStyle w:val="ListParagraph"/>
        <w:numPr>
          <w:ilvl w:val="1"/>
          <w:numId w:val="7"/>
        </w:numPr>
        <w:rPr>
          <w:sz w:val="24"/>
          <w:szCs w:val="24"/>
        </w:rPr>
      </w:pPr>
      <w:r>
        <w:rPr>
          <w:sz w:val="24"/>
          <w:szCs w:val="24"/>
        </w:rPr>
        <w:t>Engage</w:t>
      </w:r>
      <w:r w:rsidR="00F7045D" w:rsidRPr="008464D0">
        <w:rPr>
          <w:sz w:val="24"/>
          <w:szCs w:val="24"/>
        </w:rPr>
        <w:t xml:space="preserve"> </w:t>
      </w:r>
      <w:r w:rsidR="009D09EE" w:rsidRPr="008464D0">
        <w:rPr>
          <w:sz w:val="24"/>
          <w:szCs w:val="24"/>
        </w:rPr>
        <w:t xml:space="preserve">knowledge </w:t>
      </w:r>
      <w:r w:rsidR="00033BA1" w:rsidRPr="008464D0">
        <w:rPr>
          <w:sz w:val="24"/>
          <w:szCs w:val="24"/>
        </w:rPr>
        <w:t>user</w:t>
      </w:r>
      <w:r>
        <w:rPr>
          <w:sz w:val="24"/>
          <w:szCs w:val="24"/>
        </w:rPr>
        <w:t xml:space="preserve"> partners </w:t>
      </w:r>
      <w:r w:rsidR="00702B2C" w:rsidRPr="008464D0">
        <w:rPr>
          <w:sz w:val="24"/>
          <w:szCs w:val="24"/>
        </w:rPr>
        <w:t xml:space="preserve">and </w:t>
      </w:r>
      <w:r w:rsidR="00702B2C">
        <w:rPr>
          <w:sz w:val="24"/>
          <w:szCs w:val="24"/>
        </w:rPr>
        <w:t>define</w:t>
      </w:r>
      <w:r>
        <w:rPr>
          <w:sz w:val="24"/>
          <w:szCs w:val="24"/>
        </w:rPr>
        <w:t xml:space="preserve"> co-design process</w:t>
      </w:r>
      <w:r w:rsidR="0008719F">
        <w:rPr>
          <w:sz w:val="24"/>
          <w:szCs w:val="24"/>
        </w:rPr>
        <w:t xml:space="preserve"> and </w:t>
      </w:r>
      <w:r w:rsidR="00702B2C" w:rsidRPr="008464D0">
        <w:rPr>
          <w:sz w:val="24"/>
          <w:szCs w:val="24"/>
        </w:rPr>
        <w:t>roles</w:t>
      </w:r>
      <w:r w:rsidR="00E54162">
        <w:rPr>
          <w:sz w:val="24"/>
          <w:szCs w:val="24"/>
        </w:rPr>
        <w:fldChar w:fldCharType="begin" w:fldLock="1"/>
      </w:r>
      <w:r w:rsidR="0040209B">
        <w:rPr>
          <w:sz w:val="24"/>
          <w:szCs w:val="24"/>
        </w:rPr>
        <w:instrText>ADDIN CSL_CITATION {"citationItems":[{"id":"ITEM-1","itemData":{"DOI":"10.4018/978-1-60566-703-4.ch009","ISBN":"9781605667034","abstract":"Building innovative m-learning systems can be challenging, because innovative technology is tied to innovative practice, and thus the design process needs to consider the social and professional context in which a technology is to be deployed. In this chapter the authors describe a methodology for co-design in m-learning, which includes stakeholders from the domain in the technology design team. Through a case study of a project to support nurses on placement, they show that co-design should be accompanied by co-deployment in order to manage the reception and eventual acceptance of new technology in a particular environment. They present both our co-design and co-deployment methodologies, and describe the techniques that are applicable at each stage. © 2010, IGI Global.","author":[{"dropping-particle":"","family":"Millard","given":"David","non-dropping-particle":"","parse-names":false,"suffix":""},{"dropping-particle":"","family":"Howard","given":"Yvonne","non-dropping-particle":"","parse-names":false,"suffix":""},{"dropping-particle":"","family":"Gilbert","given":"Lester","non-dropping-particle":"","parse-names":false,"suffix":""},{"dropping-particle":"","family":"Wills","given":"Gary","non-dropping-particle":"","parse-names":false,"suffix":""}],"container-title":"Multiplatform E-Learning Systems and Technologies: Mobile Devices for Ubiquitous ICT-Based Education","id":"ITEM-1","issued":{"date-parts":[["2009"]]},"page":"147-163","title":"Co-design and co-deployment methodologies for innovative m-learning systems","type":"article-journal"},"uris":["http://www.mendeley.com/documents/?uuid=8218a17f-d6e2-43a3-8d3b-9310e80f82ee"]},{"id":"ITEM-2","itemData":{"DOI":"10.1186/s12913-018-3801-7","ISSN":"14726963","PMID":"30572887","abstract":"Background: Health literacy describes the cognitive and social skills which determine the motivation and ability of individuals to gain access to, understand and use information in ways which promote and maintain good health. Suboptimal health literacy is common and is believed to impact up to 60% of Australians. Co-design is a participatory approach to the development of interventions that brings together to staff and patients to design local solutions to local problems. The aim of this study is to describe a staff and patient co-design process that will lead to the development of health literacy interventions in response to identified health literacy needs of hospital patients. Methods: A mixed methods, two-step sequential explanatory design. Step 1: hospitalised patients surveyed and data analysed using hierarchical cluster analysis to establish health literacy profiles. Step 2: clusters presented as vignettes to patients and clinicians to co-design interventions to address needs. Results: Eight health literacy clusters were identified from surveys. Seven patients attended two patient workshops and 23 staff attended two staff workshops. Three key themes were identified: organisational, provider-patient, and patient self-care. Within these, five sub-themes emerged: \"Good quality communication during hospital stay\", \"Social support for health\", \"A good discharge\", \"Care across the continuum\" and \"Accessing quality information when home\". Fifteen potential interventions were produced, including changes to message design and delivery, staff training in assessing for understanding, social support to improve understanding, improving communication consistency across the care continuum, and strategic dissemination of web-based resources. Conclusion: This study identified fifteen strategies to address health literacy needs of a hospital population. Implementation and evaluation will identify sets of strategies that have the maximum patient, clinician and organisational benefit. This approach allows for the development of locally-driven, contextually-appropriate interventions to address health literacy needs.","author":[{"dropping-particle":"","family":"Jessup","given":"Rebecca L.","non-dropping-particle":"","parse-names":false,"suffix":""},{"dropping-particle":"","family":"Osborne","given":"Richard H.","non-dropping-particle":"","parse-names":false,"suffix":""},{"dropping-particle":"","family":"Buchbinder","given":"Rachelle","non-dropping-particle":"","parse-names":false,"suffix":""},{"dropping-particle":"","family":"Beauchamp","given":"Alison","non-dropping-particle":"","parse-names":false,"suffix":""}],"container-title":"BMC Health Services Research","id":"ITEM-2","issue":"1","issued":{"date-parts":[["2018"]]},"page":"1-13","publisher":"BMC Health Services Research","title":"Using co-design to develop interventions to address health literacy needs in a hospitalised population","type":"article-journal","volume":"18"},"uris":["http://www.mendeley.com/documents/?uuid=112dbafb-ef55-4589-bd98-ac9a8e44b533"]},{"id":"ITEM-3","itemData":{"DOI":"10.1016/j.pec.2018.03.019","ISSN":"18735134","PMID":"29602511","author":[{"dropping-particle":"","family":"Castro","given":"Eva Marie","non-dropping-particle":"","parse-names":false,"suffix":""},{"dropping-particle":"","family":"Malfait","given":"Simon","non-dropping-particle":"","parse-names":false,"suffix":""},{"dropping-particle":"","family":"Regenmortel","given":"Tine","non-dropping-particle":"Van","parse-names":false,"suffix":""},{"dropping-particle":"","family":"Hecke","given":"Ann","non-dropping-particle":"Van","parse-names":false,"suffix":""},{"dropping-particle":"","family":"Sermeus","given":"Walter","non-dropping-particle":"","parse-names":false,"suffix":""},{"dropping-particle":"","family":"Vanhaecht","given":"Kris","non-dropping-particle":"","parse-names":false,"suffix":""}],"container-title":"Patient Education and Counseling","id":"ITEM-3","issue":"7","issued":{"date-parts":[["2018"]]},"page":"1302-1305","title":"Co-design for implementing patient participation in hospital services: A discussion paper","type":"article-journal","volume":"101"},"uris":["http://www.mendeley.com/documents/?uuid=4e3b47d8-2aa1-4c4d-9772-3a9c4130db12"]},{"id":"ITEM-4","itemData":{"DOI":"10.1108/01443570210452048","ISSN":"01443577","abstract":"As customers ask for increasing levels of performance, functionality and customisation, firms rely on suppliers not only as a source of components, but also as a source of innovation. Several researchers have investigated the adoption of co-design, its potential benefits and its costs. Recently, scholars have increasingly underlined the need for bringing this rich stream of studies within a contingency framework, taking into account context variables and internal characteristics of the firm. This paper contributes to this contingency theory of co-design adoption. We investigate the role of three factors that might influence the intensity of supplier involvement in product development: structural characteristics (industry, size and degree of vertical integration), strategic priorities (strategic rio and internal consistency with purchasing and new product development practices. An empirical analysis of 67 Italian manufacturers demonstrates that co-design adoption is actually related to most of these factors.","author":[{"dropping-particle":"","family":"Spina","given":"Gianluca","non-dropping-particle":"","parse-names":false,"suffix":""},{"dropping-particle":"","family":"Verganti","given":"Roberto","non-dropping-particle":"","parse-names":false,"suffix":""},{"dropping-particle":"","family":"Zotteri","given":"Giulio","non-dropping-particle":"","parse-names":false,"suffix":""}],"container-title":"International Journal of Operations and Production Management","id":"ITEM-4","issue":"12","issued":{"date-parts":[["2002"]]},"page":"1354-1366","title":"Factors influencing co-design adoption: Drivers and internal consistency","type":"article-journal","volume":"22"},"uris":["http://www.mendeley.com/documents/?uuid=f84bcf21-23e3-4958-8d91-4a8b2ba40ab1"]},{"id":"ITEM-5","itemData":{"DOI":"10.1093/geront/gnaa064","ISBN":"4201913341","ISSN":"17585341","PMID":"32506136","abstract":"Background and Objectives: There is a growing interest to involve older adults in the co-design of technology to maintain their well-being and independence. What remains unknown is whether the beneficial effects of co-designed solutions are greater than those reported for non co-designed solutions. The aim of this study was to evaluate the effects and experiences of co-designed technology that support older adults to age in place. Research Design and Methods: We conducted a systematic review to (a) investigate the health and well-being outcomes of co-designed technology for older adults (≥60 years), (b) identify co-design approaches and contexts where they are applied, and (c) identify barriers and facilitators of the co-design process with older adults. Searches were conducted in MEDLINE, EMBASE, CINAHL, Science Citation Index (Web of Science), Scopus, OpenGrey, and Business Source Premiere. Results: We identified 14,649 articles and included 34 projects. Four projects reported health and well-being outcomes; the effects were inconsistent. Co-design processes varied greatly and in their intensity of older adult involvement. Common facilitators of and barriers to co-design included the building of relationships between stakeholders, stakeholder knowledge of problems and solutions, and expertise in the co-design methodology. Discussion and Implications: The effect of co-designed technology on health and well-being was rarely studied and it was difficult to ascertain its impact. Future co-design efforts need to address barriers unique to older adults. Evaluation of the impact of co-designed technologies is needed and standardization of the definition of co-design would be helpful to researchers and designers.","author":[{"dropping-particle":"","family":"Sumner","given":"Jennifer","non-dropping-particle":"","parse-names":false,"suffix":""},{"dropping-particle":"","family":"Chong","given":"Lin Siew","non-dropping-particle":"","parse-names":false,"suffix":""},{"dropping-particle":"","family":"Bundele","given":"Anjali","non-dropping-particle":"","parse-names":false,"suffix":""},{"dropping-particle":"","family":"Wei Lim","given":"Yee","non-dropping-particle":"","parse-names":false,"suffix":""}],"container-title":"Gerontologist","id":"ITEM-5","issue":"7","issued":{"date-parts":[["2021"]]},"page":"E395-E409","title":"Co-Designing Technology for Aging in Place: A Systematic Review","type":"article-journal","volume":"61"},"uris":["http://www.mendeley.com/documents/?uuid=45764965-7f30-4647-9982-6358f735e152"]}],"mendeley":{"formattedCitation":"&lt;sup&gt;6–10&lt;/sup&gt;","plainTextFormattedCitation":"6–10","previouslyFormattedCitation":"&lt;sup&gt;6–10&lt;/sup&gt;"},"properties":{"noteIndex":0},"schema":"https://github.com/citation-style-language/schema/raw/master/csl-citation.json"}</w:instrText>
      </w:r>
      <w:r w:rsidR="00E54162">
        <w:rPr>
          <w:sz w:val="24"/>
          <w:szCs w:val="24"/>
        </w:rPr>
        <w:fldChar w:fldCharType="separate"/>
      </w:r>
      <w:r w:rsidR="00E54162" w:rsidRPr="00E54162">
        <w:rPr>
          <w:noProof/>
          <w:sz w:val="24"/>
          <w:szCs w:val="24"/>
          <w:vertAlign w:val="superscript"/>
        </w:rPr>
        <w:t>6–10</w:t>
      </w:r>
      <w:r w:rsidR="00E54162">
        <w:rPr>
          <w:sz w:val="24"/>
          <w:szCs w:val="24"/>
        </w:rPr>
        <w:fldChar w:fldCharType="end"/>
      </w:r>
      <w:r w:rsidR="00702B2C" w:rsidRPr="008464D0">
        <w:rPr>
          <w:sz w:val="24"/>
          <w:szCs w:val="24"/>
        </w:rPr>
        <w:t>.</w:t>
      </w:r>
    </w:p>
    <w:p w14:paraId="49BEC8C1" w14:textId="77777777" w:rsidR="00E772CD" w:rsidRDefault="001E2C25" w:rsidP="00D94444">
      <w:pPr>
        <w:pStyle w:val="ListParagraph"/>
        <w:numPr>
          <w:ilvl w:val="1"/>
          <w:numId w:val="7"/>
        </w:numPr>
        <w:rPr>
          <w:sz w:val="24"/>
          <w:szCs w:val="24"/>
        </w:rPr>
      </w:pPr>
      <w:r w:rsidRPr="008464D0">
        <w:rPr>
          <w:sz w:val="24"/>
          <w:szCs w:val="24"/>
        </w:rPr>
        <w:t xml:space="preserve">Use qualitative and quantitative methods to </w:t>
      </w:r>
      <w:r w:rsidR="00432B78" w:rsidRPr="008464D0">
        <w:rPr>
          <w:sz w:val="24"/>
          <w:szCs w:val="24"/>
        </w:rPr>
        <w:t>define target</w:t>
      </w:r>
      <w:r w:rsidR="00F7045D" w:rsidRPr="008464D0">
        <w:rPr>
          <w:sz w:val="24"/>
          <w:szCs w:val="24"/>
        </w:rPr>
        <w:t xml:space="preserve"> </w:t>
      </w:r>
      <w:r w:rsidR="009D09EE" w:rsidRPr="008464D0">
        <w:rPr>
          <w:sz w:val="24"/>
          <w:szCs w:val="24"/>
        </w:rPr>
        <w:t>Users Needs, Preferences</w:t>
      </w:r>
      <w:r w:rsidR="00432B78" w:rsidRPr="008464D0">
        <w:rPr>
          <w:sz w:val="24"/>
          <w:szCs w:val="24"/>
        </w:rPr>
        <w:t xml:space="preserve"> and Priorities for </w:t>
      </w:r>
      <w:r w:rsidRPr="008464D0">
        <w:rPr>
          <w:sz w:val="24"/>
          <w:szCs w:val="24"/>
        </w:rPr>
        <w:t>content</w:t>
      </w:r>
      <w:r w:rsidR="007526FB">
        <w:rPr>
          <w:sz w:val="24"/>
          <w:szCs w:val="24"/>
        </w:rPr>
        <w:t>/</w:t>
      </w:r>
      <w:r w:rsidR="002F13D3" w:rsidRPr="008464D0">
        <w:rPr>
          <w:sz w:val="24"/>
          <w:szCs w:val="24"/>
        </w:rPr>
        <w:t>delivery)</w:t>
      </w:r>
      <w:r w:rsidR="0008719F">
        <w:rPr>
          <w:sz w:val="24"/>
          <w:szCs w:val="24"/>
        </w:rPr>
        <w:t xml:space="preserve">, </w:t>
      </w:r>
      <w:r w:rsidR="007526FB">
        <w:rPr>
          <w:sz w:val="24"/>
          <w:szCs w:val="24"/>
        </w:rPr>
        <w:t xml:space="preserve"> </w:t>
      </w:r>
    </w:p>
    <w:p w14:paraId="5C519DCB" w14:textId="6546A708" w:rsidR="002F13D3" w:rsidRPr="008464D0" w:rsidRDefault="00E772CD" w:rsidP="00D94444">
      <w:pPr>
        <w:pStyle w:val="ListParagraph"/>
        <w:numPr>
          <w:ilvl w:val="1"/>
          <w:numId w:val="7"/>
        </w:numPr>
        <w:rPr>
          <w:sz w:val="24"/>
          <w:szCs w:val="24"/>
        </w:rPr>
      </w:pPr>
      <w:r>
        <w:rPr>
          <w:sz w:val="24"/>
          <w:szCs w:val="24"/>
        </w:rPr>
        <w:t>Define</w:t>
      </w:r>
      <w:r w:rsidR="007526FB">
        <w:rPr>
          <w:sz w:val="24"/>
          <w:szCs w:val="24"/>
        </w:rPr>
        <w:t xml:space="preserve"> intersectional equity con</w:t>
      </w:r>
      <w:r>
        <w:rPr>
          <w:sz w:val="24"/>
          <w:szCs w:val="24"/>
        </w:rPr>
        <w:t>cerns</w:t>
      </w:r>
      <w:r w:rsidR="008961AE" w:rsidRPr="008464D0">
        <w:rPr>
          <w:sz w:val="24"/>
          <w:szCs w:val="24"/>
        </w:rPr>
        <w:t>.</w:t>
      </w:r>
    </w:p>
    <w:p w14:paraId="17046EEA" w14:textId="63109FDB" w:rsidR="00881FCB" w:rsidRDefault="0008719F" w:rsidP="00881FCB">
      <w:pPr>
        <w:pStyle w:val="ListParagraph"/>
        <w:numPr>
          <w:ilvl w:val="1"/>
          <w:numId w:val="7"/>
        </w:numPr>
        <w:rPr>
          <w:sz w:val="24"/>
          <w:szCs w:val="24"/>
        </w:rPr>
      </w:pPr>
      <w:r>
        <w:rPr>
          <w:sz w:val="24"/>
          <w:szCs w:val="24"/>
        </w:rPr>
        <w:t xml:space="preserve"> </w:t>
      </w:r>
      <w:r w:rsidR="007526FB" w:rsidRPr="00881FCB">
        <w:rPr>
          <w:sz w:val="24"/>
          <w:szCs w:val="24"/>
        </w:rPr>
        <w:t>Iterative</w:t>
      </w:r>
      <w:r w:rsidR="006D3AF2" w:rsidRPr="00881FCB">
        <w:rPr>
          <w:sz w:val="24"/>
          <w:szCs w:val="24"/>
        </w:rPr>
        <w:t xml:space="preserve"> Content and Technical Expert</w:t>
      </w:r>
      <w:r w:rsidR="007526FB" w:rsidRPr="00881FCB">
        <w:rPr>
          <w:sz w:val="24"/>
          <w:szCs w:val="24"/>
        </w:rPr>
        <w:t xml:space="preserve"> consultations</w:t>
      </w:r>
      <w:r>
        <w:rPr>
          <w:sz w:val="24"/>
          <w:szCs w:val="24"/>
        </w:rPr>
        <w:t xml:space="preserve"> on content, format and learning </w:t>
      </w:r>
      <w:r w:rsidR="00E772CD">
        <w:rPr>
          <w:sz w:val="24"/>
          <w:szCs w:val="24"/>
        </w:rPr>
        <w:t>strategies</w:t>
      </w:r>
      <w:r w:rsidR="00881FCB" w:rsidRPr="00881FCB">
        <w:rPr>
          <w:sz w:val="24"/>
          <w:szCs w:val="24"/>
        </w:rPr>
        <w:t xml:space="preserve"> </w:t>
      </w:r>
    </w:p>
    <w:p w14:paraId="6A454FA7" w14:textId="2E9F5E2C" w:rsidR="00881FCB" w:rsidRDefault="00881FCB" w:rsidP="00881FCB">
      <w:pPr>
        <w:pStyle w:val="ListParagraph"/>
        <w:numPr>
          <w:ilvl w:val="1"/>
          <w:numId w:val="7"/>
        </w:numPr>
        <w:rPr>
          <w:sz w:val="24"/>
          <w:szCs w:val="24"/>
        </w:rPr>
      </w:pPr>
      <w:r w:rsidRPr="00881FCB">
        <w:rPr>
          <w:sz w:val="24"/>
          <w:szCs w:val="24"/>
        </w:rPr>
        <w:t xml:space="preserve">Refine Therapeutic Goals, </w:t>
      </w:r>
      <w:r w:rsidR="0021407B">
        <w:rPr>
          <w:sz w:val="24"/>
          <w:szCs w:val="24"/>
        </w:rPr>
        <w:t>Intervention Targets</w:t>
      </w:r>
      <w:r w:rsidRPr="00881FCB">
        <w:rPr>
          <w:sz w:val="24"/>
          <w:szCs w:val="24"/>
        </w:rPr>
        <w:t xml:space="preserve"> and Target Audience  </w:t>
      </w:r>
    </w:p>
    <w:p w14:paraId="0EA9FF63" w14:textId="77777777" w:rsidR="00387274" w:rsidRDefault="00387274" w:rsidP="00387274">
      <w:pPr>
        <w:pStyle w:val="ListParagraph"/>
        <w:ind w:left="792"/>
        <w:rPr>
          <w:sz w:val="24"/>
          <w:szCs w:val="24"/>
        </w:rPr>
      </w:pPr>
    </w:p>
    <w:p w14:paraId="3CA5BEC0" w14:textId="77F947D4" w:rsidR="00720236" w:rsidRPr="00720236" w:rsidRDefault="00387274" w:rsidP="00720236">
      <w:pPr>
        <w:pStyle w:val="ListParagraph"/>
        <w:numPr>
          <w:ilvl w:val="0"/>
          <w:numId w:val="7"/>
        </w:numPr>
        <w:rPr>
          <w:sz w:val="24"/>
          <w:szCs w:val="24"/>
        </w:rPr>
      </w:pPr>
      <w:r w:rsidRPr="00720236">
        <w:rPr>
          <w:b/>
          <w:bCs/>
          <w:sz w:val="24"/>
          <w:szCs w:val="24"/>
        </w:rPr>
        <w:t>Embed Values in Co-design Processes</w:t>
      </w:r>
      <w:r w:rsidR="00720236">
        <w:rPr>
          <w:b/>
          <w:bCs/>
          <w:sz w:val="24"/>
          <w:szCs w:val="24"/>
        </w:rPr>
        <w:fldChar w:fldCharType="begin" w:fldLock="1"/>
      </w:r>
      <w:r w:rsidR="00720236">
        <w:rPr>
          <w:b/>
          <w:bCs/>
          <w:sz w:val="24"/>
          <w:szCs w:val="24"/>
        </w:rPr>
        <w:instrText>ADDIN CSL_CITATION {"citationItems":[{"id":"ITEM-1","itemData":{"DOI":"10.2196/58144","ISSN":"1438-8871","abstract":"Background: The co-design of health technology enables patient-centeredness and can help reduce barriers to technology use. Objective: The study objectives were to identify what remote patient monitoring (RPM) technology has been co-designed for inpatients and how effective it is, to identify and describe the co-design approaches used to develop RPM technologies and in which contexts they emerge, and to identify and describe barriers and facilitators of the co-design process. Methods: We conducted a systematic review of co-designed RPM technologies for inpatients or for the immediate postdischarge period and assessed (1) their effectiveness in improving health outcomes, (2) the co-design approaches used, and (3) barriers and facilitators to the co-design process. Eligible records included those involving stakeholders co-designing RPM technology for use in the inpatient setting or during the immediate postdischarge period. Searches were limited to the English language within the last 10 years. We searched MEDLINE, Embase, CINAHL, PsycInfo, and Science Citation Index (Web of Science) in April 2023. We used the Joanna Briggs Institute critical appraisal checklist for quasi-experimental studies and qualitative research. Findings are presented narratively. Results: We screened 3334 reports, and 17 projects met the eligibility criteria. Interventions were designed for pre- and postsurgical monitoring (n=6), intensive care monitoring (n=2), posttransplant monitoring (n=3), rehabilitation (n=4), acute inpatients (n=1), and postpartum care (n=1). No projects evaluated the efficacy of their co-designed RPM technology. Three pilot studies reported clinical outcomes; their risk of bias was low to moderate. Pilot evaluations (11/17) also focused on nonclinical outcomes such as usability, usefulness, feasibility, and satisfaction. Common co-design approaches included needs assessment or ideation (16/17), prototyping (15/17), and pilot testing (11/17). The most commonly reported challenge to the co-design process was the generalizability of findings, closely followed by time and resource constraints and participant bias. Stakeholders’ perceived value was the most frequently reported enabler of co-design. Other enablers included continued stakeholder engagement and methodological factors (ie, the use of flexible mixed method approaches and prototyping). Conclusions: Co-design methods can help enhance interventions’ relevance, usability, and adoption. While included stu…","author":[{"dropping-particle":"","family":"Sumner","given":"Jennifer","non-dropping-particle":"","parse-names":false,"suffix":""},{"dropping-particle":"","family":"Tan","given":"Si Ying","non-dropping-particle":"","parse-names":false,"suffix":""},{"dropping-particle":"","family":"Wang","given":"Yuchen","non-dropping-particle":"","parse-names":false,"suffix":""},{"dropping-particle":"","family":"Keck","given":"Camille Hui Sze","non-dropping-particle":"","parse-names":false,"suffix":""},{"dropping-particle":"","family":"Xin Lee","given":"Eunice Wei","non-dropping-particle":"","parse-names":false,"suffix":""},{"dropping-particle":"","family":"Chew","given":"Emily Hwee Hoon","non-dropping-particle":"","parse-names":false,"suffix":""},{"dropping-particle":"","family":"Yip","given":"Alexander Wenjun","non-dropping-particle":"","parse-names":false,"suffix":""}],"container-title":"J Med Internet Res","id":"ITEM-1","issued":{"date-parts":[["2024"]]},"page":"e58144","title":"Co-Designing Remote Patient Monitoring Technologies for Inpatients: Systematic Review","type":"article-journal","volume":"26"},"uris":["http://www.mendeley.com/documents/?uuid=b56eafd7-bbb9-4a42-92ba-455ca14e6f33"]},{"id":"ITEM-2","itemData":{"DOI":"10.1186/s12961-020-0528-9","ISSN":"14784505","PMID":"32046728","abstract":"Background: Billions of dollars are lost annually in health research that fails to create meaningful benefits for patients. Engaging in research co-design - the meaningful involvement of end-users in research - may help address this research waste. This rapid overview of reviews addressed three related questions, namely (1) what approaches to research co-design exist in health settings? (2) What activities do these research co-design approaches involve? (3) What do we know about the effectiveness of existing research co-design approaches? The review focused on the study planning phase of research, defined as the point up to which the research question and study design are finalised. Methods: Reviews of research co-design were systematically identified using a rapid overview of reviews approach (PROSPERO: CRD42019123034). The search strategy encompassed three academic databases, three grey literature databases, and a hand-search of the journal Research Involvement and Engagement. Two reviewers independently conducted the screening and data extraction and resolved disagreements through discussion. Disputes were resolved through discussion with a senior author (PB). One reviewer performed quality assessment. The results were narratively synthesised. Results: A total of 26 records (reporting on 23 reviews) met the inclusion criteria. Reviews varied widely in their application of 'research co-design' and their application contexts, scope and theoretical foci. The research co-design approaches identified involved interactions with end-users outside of study planning, such as recruitment and dissemination. Activities involved in research co-design included focus groups, interviews and surveys. The effectiveness of research co-design has rarely been evaluated empirically or experimentally; however, qualitative exploration has described the positive and negative outcomes associated with co-design. The research provided many recommendations for conducting research co-design, including training participating end-users in research skills, having regular communication between researchers and end-users, setting clear end-user expectations, and assigning set roles to all parties involved in co-design. Conclusions: Research co-design appears to be widely used but seldom described or evaluated in detail. Though it has rarely been tested empirically or experimentally, existing research suggests that it can benefit researchers, practitioners, research processes and resear…","author":[{"dropping-particle":"","family":"Slattery","given":"Peter","non-dropping-particle":"","parse-names":false,"suffix":""},{"dropping-particle":"","family":"Saeri","given":"Alexander K.","non-dropping-particle":"","parse-names":false,"suffix":""},{"dropping-particle":"","family":"Bragge","given":"Peter","non-dropping-particle":"","parse-names":false,"suffix":""}],"container-title":"Health Research Policy and Systems","id":"ITEM-2","issue":"1","issued":{"date-parts":[["2020"]]},"title":"Research co-design in health: A rapid overview of reviews","type":"article","volume":"18"},"uris":["http://www.mendeley.com/documents/?uuid=2fd03c68-6bc8-4560-a7c3-cff00f21aded"]},{"id":"ITEM-3","itemData":{"DOI":"10.1186/s13012-024-01394-4","ISBN":"1301202401","ISSN":"17485908","abstract":"Background: Co-design with consumers and healthcare professionals is widely used in applied health research. While this approach appears to be ethically the right thing to do, a rigorous evaluation of its process and impact is frequently missing. Evaluation of research co-design is important to identify areas of improvement in the methods and processes, as well as to determine whether research co-design leads to better outcomes. We aimed to build on current literature to develop a framework to assist researchers with the evaluation of co-design processes and impacts. Methods: A multifaceted, iterative approach, including three steps, was undertaken to develop a Co-design Evaluation Framework: 1) A systematic overview of reviews; 2) Stakeholder panel meetings to discuss and debate findings from the overview of reviews and 3) Consensus meeting with stakeholder panel. The systematic overview of reviews included relevant papers published between 2000 and 2022. OVID (Medline, Embase, PsycINFO), EBSCOhost (Cinahl) and the Cochrane Database of Systematic reviews were searched for papers that reported co-design evaluation or outcomes in health research. Extracted data was inductively analysed and evaluation themes were identified. Review findings were presented to a stakeholder panel, including consumers, healthcare professionals and researchers, to interpret and critique. A consensus meeting, including a nominal group technique, was applied to agree upon the Co-design Evaluation Framework. Results: A total of 51 reviews were included in the systematic overview of reviews. Fifteen evaluation themes were identified and grouped into the following seven clusters: People (within co-design group), group processes, research processes, co-design context, people (outside co-design group), system and sustainment. If evaluation methods were mentioned, they mainly included qualitative data, informal consumer feedback and researchers’ reflections. The Co-Design Evaluation Framework used a tree metaphor to represent the processes and people in the co-design group (below-ground), underpinning system- and people-level outcomes beyond the co-design group (above-ground). To evaluate research co-design, researchers may wish to consider any or all components in the tree. Conclusions: The Co-Design Evaluation Framework has been collaboratively developed with various stakeholders to be used prospectively (planning for evaluation), concurrently (making adjustments during the co-desi…","author":[{"dropping-particle":"","family":"Peters","given":"Sanne","non-dropping-particle":"","parse-names":false,"suffix":""},{"dropping-particle":"","family":"Guccione","given":"Lisa","non-dropping-particle":"","parse-names":false,"suffix":""},{"dropping-particle":"","family":"Francis","given":"Jill","non-dropping-particle":"","parse-names":false,"suffix":""},{"dropping-particle":"","family":"Best","given":"Stephanie","non-dropping-particle":"","parse-names":false,"suffix":""},{"dropping-particle":"","family":"Tavender","given":"Emma","non-dropping-particle":"","parse-names":false,"suffix":""},{"dropping-particle":"","family":"Curran","given":"Janet","non-dropping-particle":"","parse-names":false,"suffix":""},{"dropping-particle":"","family":"Davies","given":"Katie","non-dropping-particle":"","parse-names":false,"suffix":""},{"dropping-particle":"","family":"Rowe","given":"Stephanie","non-dropping-particle":"","parse-names":false,"suffix":""},{"dropping-particle":"","family":"Palmer","given":"Victoria J.","non-dropping-particle":"","parse-names":false,"suffix":""},{"dropping-particle":"","family":"Klaic","given":"Marlena","non-dropping-particle":"","parse-names":false,"suffix":""}],"container-title":"Implementation Science ","id":"ITEM-3","issue":"1","issued":{"date-parts":[["2024"]]},"title":"Evaluation of research co-design in health: a systematic overview of reviews and development of a framework","type":"article-journal","volume":"19"},"uris":["http://www.mendeley.com/documents/?uuid=064e70c5-28ef-4a1a-b2a1-18a390540201"]},{"id":"ITEM-4","itemData":{"author":[{"dropping-particle":"","family":"Masterson","given":"Daniel","non-dropping-particle":"","parse-names":false,"suffix":""},{"dropping-particle":"","family":"Josefsson","given":"Kristina Areskoug","non-dropping-particle":"","parse-names":false,"suffix":""},{"dropping-particle":"","family":"Robert","given":"Glenn","non-dropping-particle":"","parse-names":false,"suffix":""},{"dropping-particle":"","family":"Nylander","given":"Elisabeth","non-dropping-particle":"","parse-names":false,"suffix":""},{"dropping-particle":"","family":"Kjellstrom","given":"Sofia","non-dropping-particle":"","parse-names":false,"suffix":""}],"container-title":"Health Expectations","id":"ITEM-4","issue":"1","issued":{"date-parts":[["2022"]]},"page":"902-913","title":"Mapping definitions of co‐production and co‐design in health and social care","type":"article-journal","volume":"25"},"uris":["http://www.mendeley.com/documents/?uuid=30383394-1270-4917-8f1f-56aac0e4d9c2"]},{"id":"ITEM-5","itemData":{"DOI":"10.1186/s12913-022-08047-6","ISSN":"14726963","PMID":"35733190","abstract":"Background: Several active ingredients contribute to the purposes and mechanisms of goal-setting in rehabilitation. Active ingredients in the goal-setting process include, interdisciplinary teamworking, shared decision-making, having meaningful and specific goals, and including action planning, coping planning, feedback, and review. Clinicians have expressed barriers and enablers to implementing these active ingredients in rehabilitation teams. Interventions designed to improve goal-setting practices need to be tailored to address context specific barriers and enablers. Attempts to understand and enhance goal-setting practices in rehabilitation settings should be supported using theory, process models and determinant frameworks. Few studies have been undertaken to enhance goal-setting practices in varied case-mix rehabilitation settings. Methods: This study is part of a larger program of research guided by the Knowledge to Action (KTA) framework. A multisite, participatory, codesign approach was used in five sites to address three stages of the KTA. (1) Focus groups were conducted to understand barriers and enablers to implementing goal-setting at each site. Following the focus groups three staff co-design workshops and one consumer workshop were run at each site to (2) adapt knowledge to local context, and to (3) select and tailor interventions to improve goal-setting practices. Focus groups were analysed using the Theoretical Domains Framework (TDF) and informed the selection of behaviour change techniques incorporated into the implementation plan. Results: Barriers and enablers identified in this study were consistent with previous research. Clinicians lacked knowledge and understanding of the differences between a goal and an action plan often confusing both terms. Clinicians were unable to demonstrate an understanding of the importance of comprehensive action planning and review processes that extended beyond initial goal-setting. Interventions developed across the sites included staff training modules, a client held workbook, educational rehabilitation service flyers, interdisciplinary goal-based case conference templates, communication goal boards and a key worker model. Implementation plans were specifically established for each site. Conclusions: Rehabilitation teams continue to struggle to incorporate a truly client-centred, interdisciplinary model of goal-setting in rehabilitation. Whilst clinicians continue to lack understanding of how they …","author":[{"dropping-particle":"","family":"Baker","given":"Amanda","non-dropping-particle":"","parse-names":false,"suffix":""},{"dropping-particle":"","family":"Cornwell","given":"Petrea","non-dropping-particle":"","parse-names":false,"suffix":""},{"dropping-particle":"","family":"Gustafsson","given":"Louise","non-dropping-particle":"","parse-names":false,"suffix":""},{"dropping-particle":"","family":"Stewart","given":"Claire","non-dropping-particle":"","parse-names":false,"suffix":""},{"dropping-particle":"","family":"Lannin","given":"Natasha A.","non-dropping-particle":"","parse-names":false,"suffix":""}],"container-title":"BMC Health Services Research","id":"ITEM-5","issue":"1","issued":{"date-parts":[["2022"]]},"page":"1-21","title":"Developing tailored theoretically informed goal-setting interventions for rehabilitation services: a co-design approach","type":"article-journal","volume":"22"},"uris":["http://www.mendeley.com/documents/?uuid=bdac9f20-d3ce-460d-9a27-c462ba9af73a"]}],"mendeley":{"formattedCitation":"&lt;sup&gt;11–15&lt;/sup&gt;","plainTextFormattedCitation":"11–15","previouslyFormattedCitation":"&lt;sup&gt;11–15&lt;/sup&gt;"},"properties":{"noteIndex":0},"schema":"https://github.com/citation-style-language/schema/raw/master/csl-citation.json"}</w:instrText>
      </w:r>
      <w:r w:rsidR="00720236">
        <w:rPr>
          <w:b/>
          <w:bCs/>
          <w:sz w:val="24"/>
          <w:szCs w:val="24"/>
        </w:rPr>
        <w:fldChar w:fldCharType="separate"/>
      </w:r>
      <w:r w:rsidR="00720236" w:rsidRPr="00720236">
        <w:rPr>
          <w:bCs/>
          <w:noProof/>
          <w:sz w:val="24"/>
          <w:szCs w:val="24"/>
          <w:vertAlign w:val="superscript"/>
        </w:rPr>
        <w:t>11–15</w:t>
      </w:r>
      <w:r w:rsidR="00720236">
        <w:rPr>
          <w:b/>
          <w:bCs/>
          <w:sz w:val="24"/>
          <w:szCs w:val="24"/>
        </w:rPr>
        <w:fldChar w:fldCharType="end"/>
      </w:r>
    </w:p>
    <w:p w14:paraId="0B99F3A9" w14:textId="22FC1B08" w:rsidR="00387274" w:rsidRPr="00720236" w:rsidRDefault="00387274" w:rsidP="00720236">
      <w:pPr>
        <w:pStyle w:val="ListParagraph"/>
        <w:numPr>
          <w:ilvl w:val="1"/>
          <w:numId w:val="7"/>
        </w:numPr>
        <w:rPr>
          <w:sz w:val="24"/>
          <w:szCs w:val="24"/>
        </w:rPr>
      </w:pPr>
      <w:r w:rsidRPr="00720236">
        <w:rPr>
          <w:sz w:val="24"/>
          <w:szCs w:val="24"/>
        </w:rPr>
        <w:t xml:space="preserve"> Co-learning to achieve shared understanding</w:t>
      </w:r>
    </w:p>
    <w:p w14:paraId="46233BEB" w14:textId="57C2ECF4" w:rsidR="00387274" w:rsidRDefault="00387274" w:rsidP="00387274">
      <w:pPr>
        <w:pStyle w:val="ListParagraph"/>
        <w:numPr>
          <w:ilvl w:val="1"/>
          <w:numId w:val="7"/>
        </w:numPr>
        <w:rPr>
          <w:sz w:val="24"/>
          <w:szCs w:val="24"/>
        </w:rPr>
      </w:pPr>
      <w:r>
        <w:rPr>
          <w:sz w:val="24"/>
          <w:szCs w:val="24"/>
        </w:rPr>
        <w:t xml:space="preserve"> Shared ownership</w:t>
      </w:r>
    </w:p>
    <w:p w14:paraId="0F8A9943" w14:textId="3087FF38" w:rsidR="00387274" w:rsidRDefault="00387274" w:rsidP="00387274">
      <w:pPr>
        <w:pStyle w:val="ListParagraph"/>
        <w:numPr>
          <w:ilvl w:val="1"/>
          <w:numId w:val="7"/>
        </w:numPr>
        <w:rPr>
          <w:sz w:val="24"/>
          <w:szCs w:val="24"/>
        </w:rPr>
      </w:pPr>
      <w:r>
        <w:rPr>
          <w:sz w:val="24"/>
          <w:szCs w:val="24"/>
        </w:rPr>
        <w:t xml:space="preserve"> </w:t>
      </w:r>
      <w:r w:rsidR="0021407B">
        <w:rPr>
          <w:sz w:val="24"/>
          <w:szCs w:val="24"/>
        </w:rPr>
        <w:t>Shared decision-making, a</w:t>
      </w:r>
      <w:r>
        <w:rPr>
          <w:sz w:val="24"/>
          <w:szCs w:val="24"/>
        </w:rPr>
        <w:t xml:space="preserve"> voice for all team members</w:t>
      </w:r>
    </w:p>
    <w:p w14:paraId="45EE359E" w14:textId="058E2D89" w:rsidR="00387274" w:rsidRDefault="00387274" w:rsidP="00387274">
      <w:pPr>
        <w:pStyle w:val="ListParagraph"/>
        <w:numPr>
          <w:ilvl w:val="1"/>
          <w:numId w:val="7"/>
        </w:numPr>
        <w:rPr>
          <w:sz w:val="24"/>
          <w:szCs w:val="24"/>
        </w:rPr>
      </w:pPr>
      <w:r>
        <w:rPr>
          <w:sz w:val="24"/>
          <w:szCs w:val="24"/>
        </w:rPr>
        <w:t>Patient-centered</w:t>
      </w:r>
    </w:p>
    <w:p w14:paraId="69098697" w14:textId="014257E3" w:rsidR="006E4EA2" w:rsidRPr="00387274" w:rsidRDefault="00387274" w:rsidP="00387274">
      <w:pPr>
        <w:pStyle w:val="ListParagraph"/>
        <w:numPr>
          <w:ilvl w:val="1"/>
          <w:numId w:val="7"/>
        </w:numPr>
        <w:rPr>
          <w:sz w:val="24"/>
          <w:szCs w:val="24"/>
        </w:rPr>
      </w:pPr>
      <w:r>
        <w:rPr>
          <w:sz w:val="24"/>
          <w:szCs w:val="24"/>
        </w:rPr>
        <w:t xml:space="preserve"> Trust and relationship strengthening</w:t>
      </w:r>
    </w:p>
    <w:p w14:paraId="62DE90C8" w14:textId="77777777" w:rsidR="00800E19" w:rsidRPr="008464D0" w:rsidRDefault="00800E19" w:rsidP="006E4EA2">
      <w:pPr>
        <w:pStyle w:val="ListParagraph"/>
        <w:ind w:left="360"/>
        <w:rPr>
          <w:sz w:val="24"/>
          <w:szCs w:val="24"/>
        </w:rPr>
      </w:pPr>
    </w:p>
    <w:p w14:paraId="390A0C58" w14:textId="63D7E4F7" w:rsidR="00720236" w:rsidRDefault="00720236">
      <w:pPr>
        <w:rPr>
          <w:sz w:val="24"/>
          <w:szCs w:val="24"/>
        </w:rPr>
      </w:pPr>
      <w:r>
        <w:rPr>
          <w:sz w:val="24"/>
          <w:szCs w:val="24"/>
        </w:rPr>
        <w:br w:type="page"/>
      </w:r>
    </w:p>
    <w:p w14:paraId="6C77BC0F" w14:textId="77777777" w:rsidR="00720236" w:rsidRPr="00720236" w:rsidRDefault="00720236" w:rsidP="00720236">
      <w:pPr>
        <w:pStyle w:val="ListParagraph"/>
        <w:ind w:left="360"/>
        <w:rPr>
          <w:sz w:val="24"/>
          <w:szCs w:val="24"/>
        </w:rPr>
      </w:pPr>
    </w:p>
    <w:p w14:paraId="01A450BC" w14:textId="1E0035A1" w:rsidR="006E4EA2" w:rsidRPr="008464D0" w:rsidRDefault="00524794" w:rsidP="00D94444">
      <w:pPr>
        <w:pStyle w:val="ListParagraph"/>
        <w:numPr>
          <w:ilvl w:val="0"/>
          <w:numId w:val="7"/>
        </w:numPr>
        <w:rPr>
          <w:sz w:val="24"/>
          <w:szCs w:val="24"/>
        </w:rPr>
      </w:pPr>
      <w:r>
        <w:rPr>
          <w:b/>
          <w:bCs/>
          <w:sz w:val="24"/>
          <w:szCs w:val="24"/>
        </w:rPr>
        <w:t>Establish</w:t>
      </w:r>
      <w:r w:rsidR="00800E19">
        <w:rPr>
          <w:b/>
          <w:bCs/>
          <w:sz w:val="24"/>
          <w:szCs w:val="24"/>
        </w:rPr>
        <w:t xml:space="preserve"> a </w:t>
      </w:r>
      <w:r w:rsidR="00801BC6">
        <w:rPr>
          <w:b/>
          <w:bCs/>
          <w:sz w:val="24"/>
          <w:szCs w:val="24"/>
        </w:rPr>
        <w:t>Specific Intervention Model-</w:t>
      </w:r>
      <w:r w:rsidR="005E755C" w:rsidRPr="007526FB">
        <w:rPr>
          <w:b/>
          <w:bCs/>
          <w:sz w:val="24"/>
          <w:szCs w:val="24"/>
        </w:rPr>
        <w:t xml:space="preserve"> </w:t>
      </w:r>
      <w:bookmarkStart w:id="1" w:name="_Hlk132612020"/>
      <w:r w:rsidR="006E4EA2" w:rsidRPr="007526FB">
        <w:rPr>
          <w:b/>
          <w:bCs/>
          <w:sz w:val="24"/>
          <w:szCs w:val="24"/>
        </w:rPr>
        <w:t>Concept mapping</w:t>
      </w:r>
      <w:r w:rsidR="00720236">
        <w:rPr>
          <w:b/>
          <w:bCs/>
          <w:sz w:val="24"/>
          <w:szCs w:val="24"/>
        </w:rPr>
        <w:fldChar w:fldCharType="begin" w:fldLock="1"/>
      </w:r>
      <w:r w:rsidR="009C34DA">
        <w:rPr>
          <w:b/>
          <w:bCs/>
          <w:sz w:val="24"/>
          <w:szCs w:val="24"/>
        </w:rPr>
        <w:instrText>ADDIN CSL_CITATION {"citationItems":[{"id":"ITEM-1","itemData":{"ISBN":"1412940281","ISSN":"01497189","abstract":"Concept mapping is a structured conceptualization that can be used by groups to develop a conceptual framework that guides evaluation or planning. Twelve papers discuss concept mapping in evaluation/planning in terms of theory development; measurement, construct validity, and pattern matching; outcome assessment and internal validity; methodological issues; and conclusions. (TJH)","author":[{"dropping-particle":"","family":"Trochim","given":"William M K Ed","non-dropping-particle":"","parse-names":false,"suffix":""}],"container-title":"Evaluation and Program Planning","id":"ITEM-1","issued":{"date-parts":[["2006"]]},"page":"216","title":"Concept Mapping for Evaluation and Planning.PDF","type":"article-journal","volume":"12"},"uris":["http://www.mendeley.com/documents/?uuid=41bddeed-9d5a-4d03-ac94-01d6e7d25886"]},{"id":"ITEM-2","itemData":{"DOI":"10.1016/j.evalprogplan.2016.10.006","ISSN":"01497189","PMID":"27780609","abstract":"Concept mapping was developed in the 1980s as a unique integration of qualitative (group process, brainstorming, unstructured sorting, interpretation) and quantitative (multidimensional scaling, hierarchical cluster analysis) methods designed to enable a group of people to articulate and depict graphically a coherent conceptual framework or model of any topic or issue of interest. This introduction provides the basic definition and description of the methodology for the newcomer and describes the steps typically followed in its most standard canonical form (preparation, generation, structuring, representation, interpretation and utilization). It also introduces this special issue which reviews the history of the methodology, describes its use in a variety of contexts, shows the latest ways it can be integrated with other methodologies, considers methodological advances and developments, and sketches a vision of the future of the method's evolution.","author":[{"dropping-particle":"","family":"Trochim","given":"William M.","non-dropping-particle":"","parse-names":false,"suffix":""},{"dropping-particle":"","family":"McLinden","given":"Daniel","non-dropping-particle":"","parse-names":false,"suffix":""}],"container-title":"Evaluation and Program Planning","id":"ITEM-2","issued":{"date-parts":[["2017"]]},"page":"166-175","publisher":"Elsevier Ltd","title":"Introduction to a special issue on concept mapping","type":"article-journal","volume":"60"},"uris":["http://www.mendeley.com/documents/?uuid=65d6d879-bf7d-47a0-a171-d917be0f8947"]}],"mendeley":{"formattedCitation":"&lt;sup&gt;16,17&lt;/sup&gt;","plainTextFormattedCitation":"16,17","previouslyFormattedCitation":"&lt;sup&gt;16,17&lt;/sup&gt;"},"properties":{"noteIndex":0},"schema":"https://github.com/citation-style-language/schema/raw/master/csl-citation.json"}</w:instrText>
      </w:r>
      <w:r w:rsidR="00720236">
        <w:rPr>
          <w:b/>
          <w:bCs/>
          <w:sz w:val="24"/>
          <w:szCs w:val="24"/>
        </w:rPr>
        <w:fldChar w:fldCharType="separate"/>
      </w:r>
      <w:r w:rsidR="00720236" w:rsidRPr="00720236">
        <w:rPr>
          <w:bCs/>
          <w:noProof/>
          <w:sz w:val="24"/>
          <w:szCs w:val="24"/>
          <w:vertAlign w:val="superscript"/>
        </w:rPr>
        <w:t>16,17</w:t>
      </w:r>
      <w:r w:rsidR="00720236">
        <w:rPr>
          <w:b/>
          <w:bCs/>
          <w:sz w:val="24"/>
          <w:szCs w:val="24"/>
        </w:rPr>
        <w:fldChar w:fldCharType="end"/>
      </w:r>
      <w:r w:rsidR="006E4EA2" w:rsidRPr="007526FB">
        <w:rPr>
          <w:b/>
          <w:bCs/>
          <w:sz w:val="24"/>
          <w:szCs w:val="24"/>
        </w:rPr>
        <w:t>, intervention mapping</w:t>
      </w:r>
      <w:r w:rsidR="009C34DA">
        <w:rPr>
          <w:b/>
          <w:bCs/>
          <w:sz w:val="24"/>
          <w:szCs w:val="24"/>
        </w:rPr>
        <w:fldChar w:fldCharType="begin" w:fldLock="1"/>
      </w:r>
      <w:r w:rsidR="009C34DA">
        <w:rPr>
          <w:b/>
          <w:bCs/>
          <w:sz w:val="24"/>
          <w:szCs w:val="24"/>
        </w:rPr>
        <w:instrText>ADDIN CSL_CITATION {"citationItems":[{"id":"ITEM-1","itemData":{"DOI":"10.1177/1090198117742438","ISSN":"15526127","abstract":"Few interventions to promote physical activity (PA) adapt dynamically to changes in individuals’ behavior. Interventions targeting determinants of behavior are linked with increased effectiveness and should reflect changes in behavior over time. This article describes the application of two frameworks to assist the development of an adaptive evidence-based smartphone-delivered intervention aimed at influencing PA and sedentary behaviors (SB). Intervention mapping was used to identify the determinants influencing uptake of PA and optimal behavior change techniques (BCTs). Behavioral intervention technology was used to translate and operationalize the BCTs and its modes of delivery. The intervention was based on the integrated behavior change model, focused on nine determinants, consisted of 33 BCTs, and included three main components: (1) automated capture of daily PA and SB via an existing smartphone application, (2) classification of the individual into an activity profile according to their PA and SB, and (3) behavior change content delivery in a dynamic fashion via a proof-of-concept application. This article illustrates how two complementary frameworks can be used to guide the development of a mobile health behavior change program. This approach can guide the development of future mHealth programs.","author":[{"dropping-particle":"","family":"Direito","given":"Artur","non-dropping-particle":"","parse-names":false,"suffix":""},{"dropping-particle":"","family":"Walsh","given":"Deirdre","non-dropping-particle":"","parse-names":false,"suffix":""},{"dropping-particle":"","family":"Hinbarji","given":"Moohamad","non-dropping-particle":"","parse-names":false,"suffix":""},{"dropping-particle":"","family":"Albatal","given":"Rami","non-dropping-particle":"","parse-names":false,"suffix":""},{"dropping-particle":"","family":"Tooley","given":"Mark","non-dropping-particle":"","parse-names":false,"suffix":""},{"dropping-particle":"","family":"Whittaker","given":"Robyn","non-dropping-particle":"","parse-names":false,"suffix":""},{"dropping-particle":"","family":"Maddison","given":"Ralph","non-dropping-particle":"","parse-names":false,"suffix":""}],"container-title":"Health Education and Behavior","id":"ITEM-1","issue":"3","issued":{"date-parts":[["2018"]]},"page":"331-348","title":"Using the Intervention Mapping and Behavioral Intervention Technology Frameworks: Development of an mHealth Intervention for Physical Activity and Sedentary Behavior Change","type":"article-journal","volume":"45"},"uris":["http://www.mendeley.com/documents/?uuid=d737f7b3-803c-4e3a-8dde-0db5d88287d9"]},{"id":"ITEM-2","itemData":{"abstract":"Background. Physical therapist interventions, such as those designed to change physical activity behavior, are often complex and multifaceted. In order to facilitate rigorous evaluation and implementation of these complex interventions into clinical practice, the development process must be comprehensive, systematic, and transparent, with a sound theoretical basis. Intervention Mapping is designed to guide an iterative and problem-focused approach to the development of complex interventions. Purpose. The purpose of this case report is to demonstrate the application of an Interven- tion Mapping approach to the development of a complex physical therapist intervention, a remote self-management program aimed at increasing physical activity after acquired brain injury. Case Description. Intervention Mapping consists of 6 steps to guide the development of complex interventions: (1) needs assessment; (2) identification of outcomes, performance objectives, and change objectives; (3) selection of theory-based intervention methods and practical applications; (4) organization of methods and applications into an intervention program; (5) creation of an implementation plan; and (6) generation of an evaluation plan. The rationale and detailed description of this process are presented using an example of the development of a novel and complex physical therapist intervention, myMoves—a program designed to help individuals with an acquired brain injury to change their physical activity behavior. Conclusion. The Intervention Mapping framework may be useful in the development of complex physical therapist interventions, ensuring the development is comprehensive, sys- tematic, and thoroug","author":[{"dropping-particle":"","family":"Jones. Taryn M","given":"","non-dropping-particle":"","parse-names":false,"suffix":""},{"dropping-particle":"","family":"Dear","given":"Blake F","non-dropping-particle":"","parse-names":false,"suffix":""},{"dropping-particle":"","family":"Hush","given":"Julia","non-dropping-particle":"","parse-names":false,"suffix":""},{"dropping-particle":"","family":"Titov","given":"Nicolai","non-dropping-particle":"","parse-names":false,"suffix":""},{"dropping-particle":"","family":"Dean","given":"Catherine M","non-dropping-particle":"","parse-names":false,"suffix":""}],"container-title":"Physical therapy","id":"ITEM-2","issue":"12","issued":{"date-parts":[["1994"]]},"page":"1994-2004","title":"Application of Intervention Mapping to the Development of a Complex Physical Therapist Intervention","type":"article-journal","volume":"96"},"uris":["http://www.mendeley.com/documents/?uuid=7cc26457-77d2-44be-ab2c-9ae56279831e"]},{"id":"ITEM-3","itemData":{"DOI":"10.1177/109019819802500502","ISSN":"10901981","PMID":"9768376","abstract":"The practice of health education involves three major program-planning activities: needs assessment, program development, and evaluation. Over the past 20 years, significant enhancements have been made to the conceptual base and practice of health education. Models that outline explicit procedures and detailed conceptualization of community assessment and evaluation have been developed. Other advancements include the application of theory to health education and promotion program development and implementation. However, there remains a need for more explicit specification of the processes by which one uses theory and empirical findings to develop interventions. This article presents the origins, purpose, and description of Intervention Mapping, a framework for health education intervention development. Intervention Mapping is composed of five steps: (1) creating a matrix of proximal program objectives, (2) selecting theory-based intervention methods and practical strategies, (3) designing and organizing a program, (4) specifying adoption and implementation plans, and (5) generating program evaluation plans.","author":[{"dropping-particle":"","family":"Bartholomew","given":"L. Kay","non-dropping-particle":"","parse-names":false,"suffix":""},{"dropping-particle":"","family":"Parcel","given":"Guy S.","non-dropping-particle":"","parse-names":false,"suffix":""},{"dropping-particle":"","family":"Kok","given":"Gerjo","non-dropping-particle":"","parse-names":false,"suffix":""}],"container-title":"Health Education and Behavior","id":"ITEM-3","issued":{"date-parts":[["1998"]]},"title":"Intervention Mapping: A Process for Developing Theory- and Evidence-Based Health Education Programs","type":"article"},"uris":["http://www.mendeley.com/documents/?uuid=3c62cd17-e4de-4e85-9545-a40121d33361"]},{"id":"ITEM-4","itemData":{"DOI":"10.1080/17437199.2015.1077155","ISSN":"17437202","abstract":"In this paper, we introduce the Intervention Mapping (IM) taxonomy of behaviour change methods and its potential to be developed into a coding taxonomy. That is, although IM and its taxonomy of behaviour change methods are not in fact new, because IM was originally developed as a tool for intervention development, this potential was not immediately apparent. Second, in explaining the IM taxonomy and defining the relevant constructs, we call attention to the existence of parameters for effectiveness of methods, and explicate the related distinction between theory-based methods and practical applications and the probability that poor translation of methods may lead to erroneous conclusions as to method-effectiveness. Third, we recommend a minimal set of intervention characteristics that may be reported when intervention descriptions and evaluations are published. Specifying these characteristics can greatly enhance the quality of our meta-analyses and other literature syntheses. In conclusion, the dynamics of behaviour change are such that any taxonomy of methods of behaviour change needs to acknowledge the importance of, and provide instruments for dealing with, three conditions for effectiveness for behaviour change methods. For a behaviour change method to be effective: (1) it must target a determinant that predicts behaviour; (2) it must be able to change that determinant; (3) it must be translated into a practical application in a way that preserves the parameters for effectiveness and fits with the target population, culture, and context. Thus, taxonomies of methods of behaviour change must distinguish the specific determinants that are targeted, practical, specific applications, and the theory-based methods they embody. In addition, taxonomies should acknowledge that the lists of behaviour change methods will be used by, and should be used by, intervention developers. Ideally, the taxonomy should be readily usable for this goal; but alternatively, it should be clear how the information in the taxonomy can be used in practice. The IM taxonomy satisfies these requirements, and it would be beneficial if other taxonomies would be extended to also meet these needs.","author":[{"dropping-particle":"","family":"Kok","given":"Gerjo","non-dropping-particle":"","parse-names":false,"suffix":""},{"dropping-particle":"","family":"Gottlieb","given":"Nell H.","non-dropping-particle":"","parse-names":false,"suffix":""},{"dropping-particle":"","family":"Peters","given":"Gjalt Jorn Y.","non-dropping-particle":"","parse-names":false,"suffix":""},{"dropping-particle":"","family":"Mullen","given":"Patricia Dolan","non-dropping-particle":"","parse-names":false,"suffix":""},{"dropping-particle":"","family":"Parcel","given":"Guy S.","non-dropping-particle":"","parse-names":false,"suffix":""},{"dropping-particle":"","family":"Ruiter","given":"Robert A.C.","non-dropping-particle":"","parse-names":false,"suffix":""},{"dropping-particle":"","family":"Fernández","given":"María E.","non-dropping-particle":"","parse-names":false,"suffix":""},{"dropping-particle":"","family":"Markham","given":"Christine","non-dropping-particle":"","parse-names":false,"suffix":""},{"dropping-particle":"","family":"Bartholomew","given":"L. Kay","non-dropping-particle":"","parse-names":false,"suffix":""}],"container-title":"Health Psychology Review","id":"ITEM-4","issue":"3","issued":{"date-parts":[["2016"]]},"page":"297-312","publisher":"Taylor &amp; Francis","title":"A taxonomy of behaviour change methods: an Intervention Mapping approach","type":"article-journal","volume":"10"},"uris":["http://www.mendeley.com/documents/?uuid=ffe5769c-a5e0-469d-838f-74609e98daa7"]},{"id":"ITEM-5","itemData":{"DOI":"10.3389/fpubh.2019.00158","ISSN":"22962565","abstract":"Background: The ultimate impact of a health innovation depends not only on its effectiveness but also on its reach in the population and the extent to which it is implemented with high levels of completeness and fidelity. Implementation science has emerged as the potential solution to the failure to translate evidence from research into effective practice and policy evident in many fields. Implementation scientists have developed many frameworks, theories and models, which describe implementation determinants, processes, or outcomes; yet, there is little guidance about how these can inform the development or selection of implementation strategies (methods or techniques used to improve adoption, implementation, sustainment, and scale-up of interventions) (1, 2). To move the implementation science field forward and to provide a practical tool to apply the knowledge in this field, we describe a systematic process for planning or selecting implementation strategies: Implementation Mapping. Methods: Implementation Mapping is based on Intervention Mapping (a six-step protocol that guides the design of multi-level health promotion interventions and implementation strategies) and expands on Intervention Mapping step 5. It includes insights from both the implementation science field and Intervention Mapping. Implementation Mapping involves five tasks: (1) conduct an implementation needs assessment and identify program adopters and implementers; (2) state adoption and implementation outcomes and performance objectives, identify determinants, and create matrices of change objectives; (3) choose theoretical methods (mechanisms of change) and select or design implementation strategies; (4) produce implementation protocols and materials; and (5) evaluate implementation outcomes. The tasks are iterative with the planner circling back to previous steps throughout this process to ensure all adopters and implementers, outcomes, determinants, and objectives are addressed. Discussion: Implementation Mapping provides a systematic process for developing strategies to improve the adoption, implementation, and maintenance of evidence-based interventions in real-world settings.","author":[{"dropping-particle":"","family":"Fernandez","given":"Maria E.","non-dropping-particle":"","parse-names":false,"suffix":""},{"dropping-particle":"","family":"Hoor","given":"Gill A.","non-dropping-particle":"ten","parse-names":false,"suffix":""},{"dropping-particle":"","family":"Lieshout","given":"Sanne","non-dropping-particle":"van","parse-names":false,"suffix":""},{"dropping-particle":"","family":"Rodriguez","given":"Serena A.","non-dropping-particle":"","parse-names":false,"suffix":""},{"dropping-particle":"","family":"Beidas","given":"Rinad S.","non-dropping-particle":"","parse-names":false,"suffix":""},{"dropping-particle":"","family":"Parcel","given":"Guy","non-dropping-particle":"","parse-names":false,"suffix":""},{"dropping-particle":"","family":"Ruiter","given":"Robert A.C.","non-dropping-particle":"","parse-names":false,"suffix":""},{"dropping-particle":"","family":"Markham","given":"Christine M.","non-dropping-particle":"","parse-names":false,"suffix":""},{"dropping-particle":"","family":"Kok","given":"Gerjo","non-dropping-particle":"","parse-names":false,"suffix":""}],"container-title":"Frontiers in Public Health","id":"ITEM-5","issue":"JUN","issued":{"date-parts":[["2019"]]},"page":"1-15","title":"Implementation mapping: Using intervention mapping to develop implementation strategies","type":"article-journal","volume":"7"},"uris":["http://www.mendeley.com/documents/?uuid=15fb4e61-34c1-4cc9-898c-1d1f997fffde"]},{"id":"ITEM-6","itemData":{"DOI":"10.3390/ijerph18041775","ISSN":"16604601","PMID":"33670376","abstract":"Aim: Intervention mapping (IM) is a method to systematically design interventions that is applied regularly within the public health domain. This study investigates whether IM is effectively used within the occupational safety and health domain as well. Specifically, this study explores the relation between the fidelity regarding the use of the IM protocol for intervention develop-ment, the implementation process and the effectiveness of the occupational risk prevention and health promotion interventions. Methods: A systematic review was conducted including articles on development, implementation, and effects of occupational risk prevention and health promotion interventions that were developed according to the IM-protocol. By means of a checklist, two authors reviewed the articles and rated them on several indicators regarding the fidelity of the IM-protocol, the implementation process, and the intervention effect. Results: A literature search resulted in a total of 12 interventions as described in 38 articles. The fidelity to the IM-protocol was relatively low for participation throughout the development process and implementation planning. No relationship was found between fidelity of the IM-protocol and the intervention effect. A theory-based approach (as one of the core elements of IM) appears to be positively related to a successful implementation process. Conclusion: Results of the review suggest that organizing a participative approach and implementation planning is difficult in practice. In addition, results imply that conducting matrices of change objectives as part of the intervention development, although challenging and time-consuming, may ultimately pay off, resulting in a tailored intervention that matches the target group.","author":[{"dropping-particle":"","family":"Bakhuys Roozeboom","given":"Maartje C.","non-dropping-particle":"","parse-names":false,"suffix":""},{"dropping-particle":"","family":"Wiezer","given":"Noortje M.","non-dropping-particle":"","parse-names":false,"suffix":""},{"dropping-particle":"","family":"Boot","given":"Cécile R.L.","non-dropping-particle":"","parse-names":false,"suffix":""},{"dropping-particle":"","family":"Bongers","given":"Paulien M.","non-dropping-particle":"","parse-names":false,"suffix":""},{"dropping-particle":"","family":"Schelvis","given":"Roosmarijn M.C.","non-dropping-particle":"","parse-names":false,"suffix":""}],"container-title":"International Journal of Environmental Research and Public Health","id":"ITEM-6","issue":"4","issued":{"date-parts":[["2021"]]},"page":"1-19","title":"Use of intervention mapping for occupational risk prevention and health promotion: A systematic review of literature","type":"article-journal","volume":"18"},"uris":["http://www.mendeley.com/documents/?uuid=bfb6ac19-3749-4d9c-b1f3-c930391f4f6a"]}],"mendeley":{"formattedCitation":"&lt;sup&gt;18–23&lt;/sup&gt;","plainTextFormattedCitation":"18–23","previouslyFormattedCitation":"&lt;sup&gt;18–23&lt;/sup&gt;"},"properties":{"noteIndex":0},"schema":"https://github.com/citation-style-language/schema/raw/master/csl-citation.json"}</w:instrText>
      </w:r>
      <w:r w:rsidR="009C34DA">
        <w:rPr>
          <w:b/>
          <w:bCs/>
          <w:sz w:val="24"/>
          <w:szCs w:val="24"/>
        </w:rPr>
        <w:fldChar w:fldCharType="separate"/>
      </w:r>
      <w:r w:rsidR="009C34DA" w:rsidRPr="009C34DA">
        <w:rPr>
          <w:bCs/>
          <w:noProof/>
          <w:sz w:val="24"/>
          <w:szCs w:val="24"/>
          <w:vertAlign w:val="superscript"/>
        </w:rPr>
        <w:t>18–23</w:t>
      </w:r>
      <w:r w:rsidR="009C34DA">
        <w:rPr>
          <w:b/>
          <w:bCs/>
          <w:sz w:val="24"/>
          <w:szCs w:val="24"/>
        </w:rPr>
        <w:fldChar w:fldCharType="end"/>
      </w:r>
      <w:r w:rsidR="006E4EA2" w:rsidRPr="007526FB">
        <w:rPr>
          <w:b/>
          <w:bCs/>
          <w:sz w:val="24"/>
          <w:szCs w:val="24"/>
        </w:rPr>
        <w:t xml:space="preserve"> and/or logic models</w:t>
      </w:r>
      <w:r w:rsidR="009C34DA">
        <w:rPr>
          <w:b/>
          <w:bCs/>
          <w:sz w:val="24"/>
          <w:szCs w:val="24"/>
        </w:rPr>
        <w:fldChar w:fldCharType="begin" w:fldLock="1"/>
      </w:r>
      <w:r w:rsidR="003306DD">
        <w:rPr>
          <w:b/>
          <w:bCs/>
          <w:sz w:val="24"/>
          <w:szCs w:val="24"/>
        </w:rPr>
        <w:instrText>ADDIN CSL_CITATION {"citationItems":[{"id":"ITEM-1","itemData":{"DOI":"10.1186/s13012-020-01041-8","ISSN":"17485908","PMID":"32988389","abstract":"Background: Numerous models, frameworks, and theories exist for specific aspects of implementation research, including for determinants, strategies, and outcomes. However, implementation research projects often fail to provide a coherent rationale or justification for how these aspects are selected and tested in relation to one another. Despite this need to better specify the conceptual linkages between the core elements involved in projects, few tools or methods have been developed to aid in this task. The Implementation Research Logic Model (IRLM) was created for this purpose and to enhance the rigor and transparency of describing the often-complex processes of improving the adoption of evidence-based interventions in healthcare delivery systems. Methods: The IRLM structure and guiding principles were developed through a series of preliminary activities with multiple investigators representing diverse implementation research projects in terms of contexts, research designs, and implementation strategies being evaluated. The utility of the IRLM was evaluated in the course of a 2-day training to over 130 implementation researchers and healthcare delivery system partners. Results: Preliminary work with the IRLM produced a core structure and multiple variations for common implementation research designs and situations, as well as guiding principles and suggestions for use. Results of the survey indicated a high utility of the IRLM for multiple purposes, such as improving rigor and reproducibility of projects; serving as a \"roadmap\"for how the project is to be carried out; clearly reporting and specifying how the project is to be conducted; and understanding the connections between determinants, strategies, mechanisms, and outcomes for their project. Conclusions: The IRLM is a semi-structured, principle-guided tool designed to improve the specification, rigor, reproducibility, and testable causal pathways involved in implementation research projects. The IRLM can also aid implementation researchers and implementation partners in the planning and execution of practice change initiatives. Adaptation and refinement of the IRLM are ongoing, as is the development of resources for use and applications to diverse projects, to address the challenges of this complex scientific field.","author":[{"dropping-particle":"","family":"Smith","given":"Justin D.","non-dropping-particle":"","parse-names":false,"suffix":""},{"dropping-particle":"","family":"Li","given":"Dennis H.","non-dropping-particle":"","parse-names":false,"suffix":""},{"dropping-particle":"","family":"Rafferty","given":"Miriam R.","non-dropping-particle":"","parse-names":false,"suffix":""}],"container-title":"Implementation Science","id":"ITEM-1","issue":"1","issued":{"date-parts":[["2020"]]},"page":"1-12","publisher":"Implementation Science","title":"The Implementation Research Logic Model: A method for planning, executing, reporting, and synthesizing implementation projects","type":"article-journal","volume":"15"},"uris":["http://www.mendeley.com/documents/?uuid=56608824-b195-4c5a-a122-aeb7b7e91d8d"]}],"mendeley":{"formattedCitation":"&lt;sup&gt;24&lt;/sup&gt;","plainTextFormattedCitation":"24","previouslyFormattedCitation":"&lt;sup&gt;24&lt;/sup&gt;"},"properties":{"noteIndex":0},"schema":"https://github.com/citation-style-language/schema/raw/master/csl-citation.json"}</w:instrText>
      </w:r>
      <w:r w:rsidR="009C34DA">
        <w:rPr>
          <w:b/>
          <w:bCs/>
          <w:sz w:val="24"/>
          <w:szCs w:val="24"/>
        </w:rPr>
        <w:fldChar w:fldCharType="separate"/>
      </w:r>
      <w:r w:rsidR="009C34DA" w:rsidRPr="009C34DA">
        <w:rPr>
          <w:bCs/>
          <w:noProof/>
          <w:sz w:val="24"/>
          <w:szCs w:val="24"/>
          <w:vertAlign w:val="superscript"/>
        </w:rPr>
        <w:t>24</w:t>
      </w:r>
      <w:r w:rsidR="009C34DA">
        <w:rPr>
          <w:b/>
          <w:bCs/>
          <w:sz w:val="24"/>
          <w:szCs w:val="24"/>
        </w:rPr>
        <w:fldChar w:fldCharType="end"/>
      </w:r>
      <w:r w:rsidR="00800E19">
        <w:rPr>
          <w:sz w:val="24"/>
          <w:szCs w:val="24"/>
        </w:rPr>
        <w:t xml:space="preserve"> to define</w:t>
      </w:r>
      <w:r w:rsidR="006E4EA2" w:rsidRPr="008464D0">
        <w:rPr>
          <w:sz w:val="24"/>
          <w:szCs w:val="24"/>
        </w:rPr>
        <w:t>:</w:t>
      </w:r>
    </w:p>
    <w:p w14:paraId="17B9FB9D" w14:textId="77777777" w:rsidR="006E4EA2" w:rsidRPr="008464D0" w:rsidRDefault="006E4EA2" w:rsidP="00881FCB">
      <w:pPr>
        <w:pStyle w:val="ListParagraph"/>
        <w:numPr>
          <w:ilvl w:val="1"/>
          <w:numId w:val="7"/>
        </w:numPr>
        <w:rPr>
          <w:sz w:val="24"/>
          <w:szCs w:val="24"/>
        </w:rPr>
      </w:pPr>
      <w:r w:rsidRPr="008464D0">
        <w:rPr>
          <w:sz w:val="24"/>
          <w:szCs w:val="24"/>
        </w:rPr>
        <w:t xml:space="preserve">Scope and target audience </w:t>
      </w:r>
    </w:p>
    <w:p w14:paraId="54F67C2B" w14:textId="77777777" w:rsidR="006E4EA2" w:rsidRPr="008464D0" w:rsidRDefault="006E4EA2" w:rsidP="00881FCB">
      <w:pPr>
        <w:pStyle w:val="ListParagraph"/>
        <w:numPr>
          <w:ilvl w:val="1"/>
          <w:numId w:val="7"/>
        </w:numPr>
        <w:rPr>
          <w:sz w:val="24"/>
          <w:szCs w:val="24"/>
        </w:rPr>
      </w:pPr>
      <w:r w:rsidRPr="008464D0">
        <w:rPr>
          <w:sz w:val="24"/>
          <w:szCs w:val="24"/>
        </w:rPr>
        <w:t>Specific objectives</w:t>
      </w:r>
    </w:p>
    <w:p w14:paraId="7E5F969B" w14:textId="32EF5223" w:rsidR="00801BC6" w:rsidRDefault="006E4EA2" w:rsidP="00881FCB">
      <w:pPr>
        <w:pStyle w:val="ListParagraph"/>
        <w:numPr>
          <w:ilvl w:val="1"/>
          <w:numId w:val="7"/>
        </w:numPr>
        <w:rPr>
          <w:sz w:val="24"/>
          <w:szCs w:val="24"/>
        </w:rPr>
      </w:pPr>
      <w:r w:rsidRPr="008464D0">
        <w:rPr>
          <w:sz w:val="24"/>
          <w:szCs w:val="24"/>
        </w:rPr>
        <w:t xml:space="preserve">Skills, Knowledge and </w:t>
      </w:r>
      <w:r w:rsidR="00801BC6">
        <w:rPr>
          <w:sz w:val="24"/>
          <w:szCs w:val="24"/>
        </w:rPr>
        <w:t>A</w:t>
      </w:r>
      <w:r w:rsidRPr="008464D0">
        <w:rPr>
          <w:sz w:val="24"/>
          <w:szCs w:val="24"/>
        </w:rPr>
        <w:t xml:space="preserve">ttitude </w:t>
      </w:r>
      <w:proofErr w:type="gramStart"/>
      <w:r w:rsidR="00801BC6">
        <w:rPr>
          <w:sz w:val="24"/>
          <w:szCs w:val="24"/>
        </w:rPr>
        <w:t>T</w:t>
      </w:r>
      <w:r w:rsidRPr="008464D0">
        <w:rPr>
          <w:sz w:val="24"/>
          <w:szCs w:val="24"/>
        </w:rPr>
        <w:t>argets;</w:t>
      </w:r>
      <w:proofErr w:type="gramEnd"/>
      <w:r w:rsidRPr="008464D0">
        <w:rPr>
          <w:sz w:val="24"/>
          <w:szCs w:val="24"/>
        </w:rPr>
        <w:t xml:space="preserve"> </w:t>
      </w:r>
    </w:p>
    <w:p w14:paraId="259E7B9D" w14:textId="1E872622" w:rsidR="00801BC6" w:rsidRPr="008464D0" w:rsidRDefault="00801BC6" w:rsidP="00801BC6">
      <w:pPr>
        <w:pStyle w:val="ListParagraph"/>
        <w:numPr>
          <w:ilvl w:val="1"/>
          <w:numId w:val="7"/>
        </w:numPr>
        <w:rPr>
          <w:sz w:val="24"/>
          <w:szCs w:val="24"/>
        </w:rPr>
      </w:pPr>
      <w:r>
        <w:rPr>
          <w:sz w:val="24"/>
          <w:szCs w:val="24"/>
        </w:rPr>
        <w:t>T</w:t>
      </w:r>
      <w:r w:rsidR="00702B2C" w:rsidRPr="008464D0">
        <w:rPr>
          <w:sz w:val="24"/>
          <w:szCs w:val="24"/>
        </w:rPr>
        <w:t>h</w:t>
      </w:r>
      <w:r>
        <w:rPr>
          <w:sz w:val="24"/>
          <w:szCs w:val="24"/>
        </w:rPr>
        <w:t>e</w:t>
      </w:r>
      <w:r w:rsidR="00702B2C" w:rsidRPr="008464D0">
        <w:rPr>
          <w:sz w:val="24"/>
          <w:szCs w:val="24"/>
        </w:rPr>
        <w:t>rapeutic interventions</w:t>
      </w:r>
      <w:r w:rsidR="00800E19">
        <w:rPr>
          <w:sz w:val="24"/>
          <w:szCs w:val="24"/>
        </w:rPr>
        <w:t>/content</w:t>
      </w:r>
      <w:r>
        <w:rPr>
          <w:sz w:val="24"/>
          <w:szCs w:val="24"/>
        </w:rPr>
        <w:t xml:space="preserve"> and their e</w:t>
      </w:r>
      <w:r w:rsidRPr="008464D0">
        <w:rPr>
          <w:sz w:val="24"/>
          <w:szCs w:val="24"/>
        </w:rPr>
        <w:t xml:space="preserve">xpected mechanisms. </w:t>
      </w:r>
    </w:p>
    <w:p w14:paraId="70D893CC" w14:textId="37B8B70E" w:rsidR="006E4EA2" w:rsidRPr="008464D0" w:rsidRDefault="006E4EA2" w:rsidP="00881FCB">
      <w:pPr>
        <w:pStyle w:val="ListParagraph"/>
        <w:numPr>
          <w:ilvl w:val="1"/>
          <w:numId w:val="7"/>
        </w:numPr>
        <w:rPr>
          <w:sz w:val="24"/>
          <w:szCs w:val="24"/>
        </w:rPr>
      </w:pPr>
      <w:r w:rsidRPr="008464D0">
        <w:rPr>
          <w:sz w:val="24"/>
          <w:szCs w:val="24"/>
        </w:rPr>
        <w:t>Content/component weighting</w:t>
      </w:r>
      <w:r w:rsidR="00800E19">
        <w:rPr>
          <w:sz w:val="24"/>
          <w:szCs w:val="24"/>
        </w:rPr>
        <w:t xml:space="preserve"> and </w:t>
      </w:r>
      <w:r w:rsidRPr="008464D0">
        <w:rPr>
          <w:sz w:val="24"/>
          <w:szCs w:val="24"/>
        </w:rPr>
        <w:t>organization</w:t>
      </w:r>
    </w:p>
    <w:p w14:paraId="3FAAEE9A" w14:textId="18744E17" w:rsidR="006E4EA2" w:rsidRPr="008464D0" w:rsidRDefault="006E4EA2" w:rsidP="00881FCB">
      <w:pPr>
        <w:pStyle w:val="ListParagraph"/>
        <w:numPr>
          <w:ilvl w:val="1"/>
          <w:numId w:val="7"/>
        </w:numPr>
        <w:rPr>
          <w:sz w:val="24"/>
          <w:szCs w:val="24"/>
        </w:rPr>
      </w:pPr>
      <w:r w:rsidRPr="008464D0">
        <w:rPr>
          <w:sz w:val="24"/>
          <w:szCs w:val="24"/>
        </w:rPr>
        <w:t xml:space="preserve">Process and outcome measures </w:t>
      </w:r>
      <w:r w:rsidR="00524794">
        <w:rPr>
          <w:sz w:val="24"/>
          <w:szCs w:val="24"/>
        </w:rPr>
        <w:t>that can monitor uptake and impact</w:t>
      </w:r>
      <w:r w:rsidR="00702B2C" w:rsidRPr="008464D0">
        <w:rPr>
          <w:sz w:val="24"/>
          <w:szCs w:val="24"/>
        </w:rPr>
        <w:t>.</w:t>
      </w:r>
    </w:p>
    <w:p w14:paraId="643ACC36" w14:textId="629891B5" w:rsidR="00800E19" w:rsidRPr="00800E19" w:rsidRDefault="00800E19" w:rsidP="00800E19">
      <w:pPr>
        <w:pStyle w:val="ListParagraph"/>
        <w:numPr>
          <w:ilvl w:val="2"/>
          <w:numId w:val="7"/>
        </w:numPr>
        <w:rPr>
          <w:sz w:val="24"/>
          <w:szCs w:val="24"/>
        </w:rPr>
      </w:pPr>
      <w:r w:rsidRPr="00800E19">
        <w:t xml:space="preserve"> </w:t>
      </w:r>
      <w:r w:rsidRPr="00800E19">
        <w:rPr>
          <w:sz w:val="24"/>
          <w:szCs w:val="24"/>
        </w:rPr>
        <w:t>Design an outcome strategy and select indicators/measures.</w:t>
      </w:r>
    </w:p>
    <w:p w14:paraId="3EB91759" w14:textId="77777777" w:rsidR="00800E19" w:rsidRPr="00800E19" w:rsidRDefault="00800E19" w:rsidP="00801BC6">
      <w:pPr>
        <w:pStyle w:val="ListParagraph"/>
        <w:numPr>
          <w:ilvl w:val="1"/>
          <w:numId w:val="7"/>
        </w:numPr>
        <w:rPr>
          <w:sz w:val="24"/>
          <w:szCs w:val="24"/>
        </w:rPr>
      </w:pPr>
      <w:r w:rsidRPr="00800E19">
        <w:rPr>
          <w:sz w:val="24"/>
          <w:szCs w:val="24"/>
        </w:rPr>
        <w:t>Map intervention components and mechanisms to expected outcomes.</w:t>
      </w:r>
    </w:p>
    <w:p w14:paraId="754EC87A" w14:textId="729C3EE1" w:rsidR="00801BC6" w:rsidRDefault="00800E19" w:rsidP="00801BC6">
      <w:pPr>
        <w:pStyle w:val="ListParagraph"/>
        <w:numPr>
          <w:ilvl w:val="1"/>
          <w:numId w:val="7"/>
        </w:numPr>
        <w:rPr>
          <w:sz w:val="24"/>
          <w:szCs w:val="24"/>
        </w:rPr>
      </w:pPr>
      <w:proofErr w:type="gramStart"/>
      <w:r w:rsidRPr="00800E19">
        <w:rPr>
          <w:sz w:val="24"/>
          <w:szCs w:val="24"/>
        </w:rPr>
        <w:t xml:space="preserve">Select </w:t>
      </w:r>
      <w:r w:rsidR="00801BC6">
        <w:rPr>
          <w:sz w:val="24"/>
          <w:szCs w:val="24"/>
        </w:rPr>
        <w:t xml:space="preserve"> outcome</w:t>
      </w:r>
      <w:proofErr w:type="gramEnd"/>
      <w:r w:rsidR="008C427C">
        <w:rPr>
          <w:sz w:val="24"/>
          <w:szCs w:val="24"/>
        </w:rPr>
        <w:t xml:space="preserve"> measures and strategy</w:t>
      </w:r>
    </w:p>
    <w:p w14:paraId="5DC1821A" w14:textId="079F4742" w:rsidR="00800E19" w:rsidRDefault="008C427C" w:rsidP="00801BC6">
      <w:pPr>
        <w:pStyle w:val="ListParagraph"/>
        <w:numPr>
          <w:ilvl w:val="2"/>
          <w:numId w:val="7"/>
        </w:numPr>
        <w:rPr>
          <w:sz w:val="24"/>
          <w:szCs w:val="24"/>
        </w:rPr>
      </w:pPr>
      <w:r>
        <w:rPr>
          <w:sz w:val="24"/>
          <w:szCs w:val="24"/>
        </w:rPr>
        <w:t>A</w:t>
      </w:r>
      <w:r w:rsidR="00D679DD">
        <w:rPr>
          <w:sz w:val="24"/>
          <w:szCs w:val="24"/>
        </w:rPr>
        <w:t xml:space="preserve">dherence, </w:t>
      </w:r>
      <w:r w:rsidR="00800E19" w:rsidRPr="00800E19">
        <w:rPr>
          <w:sz w:val="24"/>
          <w:szCs w:val="24"/>
        </w:rPr>
        <w:t>fidelity and process outcomes</w:t>
      </w:r>
    </w:p>
    <w:p w14:paraId="0689D38E" w14:textId="28231BA0" w:rsidR="008C427C" w:rsidRDefault="008C427C" w:rsidP="00801BC6">
      <w:pPr>
        <w:pStyle w:val="ListParagraph"/>
        <w:numPr>
          <w:ilvl w:val="2"/>
          <w:numId w:val="7"/>
        </w:numPr>
        <w:rPr>
          <w:sz w:val="24"/>
          <w:szCs w:val="24"/>
        </w:rPr>
      </w:pPr>
      <w:r>
        <w:rPr>
          <w:sz w:val="24"/>
          <w:szCs w:val="24"/>
        </w:rPr>
        <w:t>Quintuple Aims</w:t>
      </w:r>
    </w:p>
    <w:p w14:paraId="67084231" w14:textId="1C6A3393" w:rsidR="008C427C" w:rsidRDefault="008C427C" w:rsidP="008C427C">
      <w:pPr>
        <w:pStyle w:val="ListParagraph"/>
        <w:numPr>
          <w:ilvl w:val="3"/>
          <w:numId w:val="7"/>
        </w:numPr>
        <w:rPr>
          <w:sz w:val="24"/>
          <w:szCs w:val="24"/>
        </w:rPr>
      </w:pPr>
      <w:r>
        <w:rPr>
          <w:sz w:val="24"/>
          <w:szCs w:val="24"/>
        </w:rPr>
        <w:t>Patient Experience</w:t>
      </w:r>
    </w:p>
    <w:p w14:paraId="462EE6CA" w14:textId="09218C19" w:rsidR="00801BC6" w:rsidRDefault="008C427C" w:rsidP="008C427C">
      <w:pPr>
        <w:pStyle w:val="ListParagraph"/>
        <w:numPr>
          <w:ilvl w:val="3"/>
          <w:numId w:val="7"/>
        </w:numPr>
        <w:rPr>
          <w:sz w:val="24"/>
          <w:szCs w:val="24"/>
        </w:rPr>
      </w:pPr>
      <w:r>
        <w:rPr>
          <w:sz w:val="24"/>
          <w:szCs w:val="24"/>
        </w:rPr>
        <w:t>P</w:t>
      </w:r>
      <w:r w:rsidR="00801BC6">
        <w:rPr>
          <w:sz w:val="24"/>
          <w:szCs w:val="24"/>
        </w:rPr>
        <w:t>atient outcomes</w:t>
      </w:r>
    </w:p>
    <w:p w14:paraId="61E2BE5C" w14:textId="27F9DA33" w:rsidR="00801BC6" w:rsidRDefault="008C427C" w:rsidP="008C427C">
      <w:pPr>
        <w:pStyle w:val="ListParagraph"/>
        <w:numPr>
          <w:ilvl w:val="3"/>
          <w:numId w:val="7"/>
        </w:numPr>
        <w:rPr>
          <w:sz w:val="24"/>
          <w:szCs w:val="24"/>
        </w:rPr>
      </w:pPr>
      <w:proofErr w:type="gramStart"/>
      <w:r>
        <w:rPr>
          <w:sz w:val="24"/>
          <w:szCs w:val="24"/>
        </w:rPr>
        <w:t>Provider</w:t>
      </w:r>
      <w:proofErr w:type="gramEnd"/>
      <w:r>
        <w:rPr>
          <w:sz w:val="24"/>
          <w:szCs w:val="24"/>
        </w:rPr>
        <w:t xml:space="preserve"> experience outcomes</w:t>
      </w:r>
    </w:p>
    <w:p w14:paraId="78091E3A" w14:textId="7CAFE7F5" w:rsidR="008C427C" w:rsidRDefault="008C427C" w:rsidP="008C427C">
      <w:pPr>
        <w:pStyle w:val="ListParagraph"/>
        <w:numPr>
          <w:ilvl w:val="3"/>
          <w:numId w:val="7"/>
        </w:numPr>
        <w:rPr>
          <w:sz w:val="24"/>
          <w:szCs w:val="24"/>
        </w:rPr>
      </w:pPr>
      <w:r>
        <w:rPr>
          <w:sz w:val="24"/>
          <w:szCs w:val="24"/>
        </w:rPr>
        <w:t>Costs</w:t>
      </w:r>
    </w:p>
    <w:p w14:paraId="4B8008F4" w14:textId="2EA4A08C" w:rsidR="008C427C" w:rsidRPr="00800E19" w:rsidRDefault="008C427C" w:rsidP="008C427C">
      <w:pPr>
        <w:pStyle w:val="ListParagraph"/>
        <w:numPr>
          <w:ilvl w:val="3"/>
          <w:numId w:val="7"/>
        </w:numPr>
        <w:rPr>
          <w:sz w:val="24"/>
          <w:szCs w:val="24"/>
        </w:rPr>
      </w:pPr>
      <w:r>
        <w:rPr>
          <w:sz w:val="24"/>
          <w:szCs w:val="24"/>
        </w:rPr>
        <w:t>Equity Outcomes</w:t>
      </w:r>
    </w:p>
    <w:p w14:paraId="63A9184E" w14:textId="77777777" w:rsidR="00800E19" w:rsidRPr="00800E19" w:rsidRDefault="00800E19" w:rsidP="00800E19">
      <w:pPr>
        <w:pStyle w:val="ListParagraph"/>
        <w:numPr>
          <w:ilvl w:val="2"/>
          <w:numId w:val="7"/>
        </w:numPr>
        <w:rPr>
          <w:sz w:val="24"/>
          <w:szCs w:val="24"/>
        </w:rPr>
      </w:pPr>
      <w:r w:rsidRPr="00800E19">
        <w:rPr>
          <w:sz w:val="24"/>
          <w:szCs w:val="24"/>
        </w:rPr>
        <w:t>Review measurement properties of potential tools/measures</w:t>
      </w:r>
    </w:p>
    <w:p w14:paraId="691641A6" w14:textId="28E71D51" w:rsidR="00800E19" w:rsidRPr="00800E19" w:rsidRDefault="008C427C" w:rsidP="00800E19">
      <w:pPr>
        <w:pStyle w:val="ListParagraph"/>
        <w:numPr>
          <w:ilvl w:val="2"/>
          <w:numId w:val="7"/>
        </w:numPr>
        <w:rPr>
          <w:sz w:val="24"/>
          <w:szCs w:val="24"/>
        </w:rPr>
      </w:pPr>
      <w:r>
        <w:rPr>
          <w:sz w:val="24"/>
          <w:szCs w:val="24"/>
        </w:rPr>
        <w:t>Select</w:t>
      </w:r>
      <w:r w:rsidR="00800E19" w:rsidRPr="00800E19">
        <w:rPr>
          <w:sz w:val="24"/>
          <w:szCs w:val="24"/>
        </w:rPr>
        <w:t xml:space="preserve"> and document outcome measurement strategy (measures, timing, delivery, scoring)</w:t>
      </w:r>
    </w:p>
    <w:p w14:paraId="5769250A" w14:textId="77777777" w:rsidR="00800E19" w:rsidRDefault="00800E19" w:rsidP="00800E19">
      <w:pPr>
        <w:pStyle w:val="ListParagraph"/>
        <w:ind w:left="1224"/>
        <w:rPr>
          <w:sz w:val="24"/>
          <w:szCs w:val="24"/>
        </w:rPr>
      </w:pPr>
    </w:p>
    <w:p w14:paraId="54D41F60" w14:textId="77777777" w:rsidR="00D679DD" w:rsidRPr="008464D0" w:rsidRDefault="00D679DD" w:rsidP="00800E19">
      <w:pPr>
        <w:pStyle w:val="ListParagraph"/>
        <w:ind w:left="1224"/>
        <w:rPr>
          <w:sz w:val="24"/>
          <w:szCs w:val="24"/>
        </w:rPr>
      </w:pPr>
    </w:p>
    <w:p w14:paraId="72F1A172" w14:textId="59BB250E" w:rsidR="005E755C" w:rsidRPr="007526FB" w:rsidRDefault="005E755C" w:rsidP="00D94444">
      <w:pPr>
        <w:pStyle w:val="ListParagraph"/>
        <w:numPr>
          <w:ilvl w:val="0"/>
          <w:numId w:val="7"/>
        </w:numPr>
        <w:rPr>
          <w:b/>
          <w:bCs/>
          <w:sz w:val="24"/>
          <w:szCs w:val="24"/>
        </w:rPr>
      </w:pPr>
      <w:r w:rsidRPr="008464D0">
        <w:rPr>
          <w:sz w:val="24"/>
          <w:szCs w:val="24"/>
        </w:rPr>
        <w:t xml:space="preserve"> </w:t>
      </w:r>
      <w:r w:rsidRPr="007526FB">
        <w:rPr>
          <w:b/>
          <w:bCs/>
          <w:sz w:val="24"/>
          <w:szCs w:val="24"/>
        </w:rPr>
        <w:t>Prototype</w:t>
      </w:r>
      <w:r w:rsidR="00800E19">
        <w:rPr>
          <w:b/>
          <w:bCs/>
          <w:sz w:val="24"/>
          <w:szCs w:val="24"/>
        </w:rPr>
        <w:t xml:space="preserve"> Creation </w:t>
      </w:r>
      <w:r w:rsidR="005C6D55">
        <w:rPr>
          <w:b/>
          <w:bCs/>
          <w:sz w:val="24"/>
          <w:szCs w:val="24"/>
        </w:rPr>
        <w:t>-Generative Design</w:t>
      </w:r>
    </w:p>
    <w:p w14:paraId="3D4B7D46" w14:textId="6ED7A330" w:rsidR="00142978" w:rsidRDefault="00702B2C" w:rsidP="00D94444">
      <w:pPr>
        <w:pStyle w:val="ListParagraph"/>
        <w:numPr>
          <w:ilvl w:val="1"/>
          <w:numId w:val="7"/>
        </w:numPr>
        <w:rPr>
          <w:sz w:val="24"/>
          <w:szCs w:val="24"/>
        </w:rPr>
      </w:pPr>
      <w:r w:rsidRPr="008464D0">
        <w:rPr>
          <w:sz w:val="24"/>
          <w:szCs w:val="24"/>
        </w:rPr>
        <w:t>Prioritize</w:t>
      </w:r>
      <w:r w:rsidR="005E755C" w:rsidRPr="008464D0">
        <w:rPr>
          <w:sz w:val="24"/>
          <w:szCs w:val="24"/>
        </w:rPr>
        <w:t xml:space="preserve"> and </w:t>
      </w:r>
      <w:r w:rsidR="00142978">
        <w:rPr>
          <w:sz w:val="24"/>
          <w:szCs w:val="24"/>
        </w:rPr>
        <w:t>develop</w:t>
      </w:r>
      <w:r w:rsidR="005E755C" w:rsidRPr="008464D0">
        <w:rPr>
          <w:sz w:val="24"/>
          <w:szCs w:val="24"/>
        </w:rPr>
        <w:t xml:space="preserve"> </w:t>
      </w:r>
      <w:r w:rsidRPr="008464D0">
        <w:rPr>
          <w:sz w:val="24"/>
          <w:szCs w:val="24"/>
        </w:rPr>
        <w:t>content</w:t>
      </w:r>
    </w:p>
    <w:p w14:paraId="69819577" w14:textId="1505A08A" w:rsidR="005E755C" w:rsidRPr="008464D0" w:rsidRDefault="00142978" w:rsidP="00D94444">
      <w:pPr>
        <w:pStyle w:val="ListParagraph"/>
        <w:numPr>
          <w:ilvl w:val="1"/>
          <w:numId w:val="7"/>
        </w:numPr>
        <w:rPr>
          <w:sz w:val="24"/>
          <w:szCs w:val="24"/>
        </w:rPr>
      </w:pPr>
      <w:r>
        <w:rPr>
          <w:sz w:val="24"/>
          <w:szCs w:val="24"/>
        </w:rPr>
        <w:t xml:space="preserve">Designate </w:t>
      </w:r>
      <w:r w:rsidR="00800E19">
        <w:rPr>
          <w:sz w:val="24"/>
          <w:szCs w:val="24"/>
        </w:rPr>
        <w:t>chunks/modules</w:t>
      </w:r>
      <w:r w:rsidR="00702B2C" w:rsidRPr="008464D0">
        <w:rPr>
          <w:sz w:val="24"/>
          <w:szCs w:val="24"/>
        </w:rPr>
        <w:t>.</w:t>
      </w:r>
    </w:p>
    <w:p w14:paraId="713A4ABF" w14:textId="3DCF1EAE" w:rsidR="005E755C" w:rsidRPr="008464D0" w:rsidRDefault="005E755C" w:rsidP="00D94444">
      <w:pPr>
        <w:pStyle w:val="ListParagraph"/>
        <w:numPr>
          <w:ilvl w:val="1"/>
          <w:numId w:val="7"/>
        </w:numPr>
        <w:rPr>
          <w:sz w:val="24"/>
          <w:szCs w:val="24"/>
        </w:rPr>
      </w:pPr>
      <w:r w:rsidRPr="008464D0">
        <w:rPr>
          <w:sz w:val="24"/>
          <w:szCs w:val="24"/>
        </w:rPr>
        <w:t>Develop scripts</w:t>
      </w:r>
      <w:r w:rsidR="00800E19">
        <w:rPr>
          <w:sz w:val="24"/>
          <w:szCs w:val="24"/>
        </w:rPr>
        <w:t>, story boards</w:t>
      </w:r>
      <w:r w:rsidRPr="008464D0">
        <w:rPr>
          <w:sz w:val="24"/>
          <w:szCs w:val="24"/>
        </w:rPr>
        <w:t xml:space="preserve"> and </w:t>
      </w:r>
      <w:r w:rsidR="00800E19">
        <w:rPr>
          <w:sz w:val="24"/>
          <w:szCs w:val="24"/>
        </w:rPr>
        <w:t xml:space="preserve">structural </w:t>
      </w:r>
      <w:r w:rsidR="00702B2C" w:rsidRPr="008464D0">
        <w:rPr>
          <w:sz w:val="24"/>
          <w:szCs w:val="24"/>
        </w:rPr>
        <w:t>templates.</w:t>
      </w:r>
    </w:p>
    <w:p w14:paraId="60ACED1A" w14:textId="64FEAA33" w:rsidR="005E755C" w:rsidRPr="008464D0" w:rsidRDefault="00800E19" w:rsidP="00D94444">
      <w:pPr>
        <w:pStyle w:val="ListParagraph"/>
        <w:numPr>
          <w:ilvl w:val="1"/>
          <w:numId w:val="7"/>
        </w:numPr>
        <w:rPr>
          <w:sz w:val="24"/>
          <w:szCs w:val="24"/>
        </w:rPr>
      </w:pPr>
      <w:r>
        <w:rPr>
          <w:sz w:val="24"/>
          <w:szCs w:val="24"/>
        </w:rPr>
        <w:t xml:space="preserve">Produce </w:t>
      </w:r>
      <w:r w:rsidR="00702B2C" w:rsidRPr="008464D0">
        <w:rPr>
          <w:sz w:val="24"/>
          <w:szCs w:val="24"/>
        </w:rPr>
        <w:t>components</w:t>
      </w:r>
      <w:r>
        <w:rPr>
          <w:sz w:val="24"/>
          <w:szCs w:val="24"/>
        </w:rPr>
        <w:t xml:space="preserve"> </w:t>
      </w:r>
    </w:p>
    <w:p w14:paraId="4898AE0F" w14:textId="04964D90" w:rsidR="005E755C" w:rsidRPr="008464D0" w:rsidRDefault="00702B2C" w:rsidP="00D94444">
      <w:pPr>
        <w:pStyle w:val="ListParagraph"/>
        <w:numPr>
          <w:ilvl w:val="1"/>
          <w:numId w:val="7"/>
        </w:numPr>
        <w:rPr>
          <w:sz w:val="24"/>
          <w:szCs w:val="24"/>
        </w:rPr>
      </w:pPr>
      <w:r w:rsidRPr="008464D0">
        <w:rPr>
          <w:sz w:val="24"/>
          <w:szCs w:val="24"/>
        </w:rPr>
        <w:t xml:space="preserve">Obtain </w:t>
      </w:r>
      <w:r w:rsidR="00800E19">
        <w:rPr>
          <w:sz w:val="24"/>
          <w:szCs w:val="24"/>
        </w:rPr>
        <w:t xml:space="preserve">iterative </w:t>
      </w:r>
      <w:r w:rsidRPr="008464D0">
        <w:rPr>
          <w:sz w:val="24"/>
          <w:szCs w:val="24"/>
        </w:rPr>
        <w:t>expert</w:t>
      </w:r>
      <w:r w:rsidR="005E755C" w:rsidRPr="008464D0">
        <w:rPr>
          <w:sz w:val="24"/>
          <w:szCs w:val="24"/>
        </w:rPr>
        <w:t xml:space="preserve">, user, stakeholder </w:t>
      </w:r>
      <w:r w:rsidRPr="008464D0">
        <w:rPr>
          <w:sz w:val="24"/>
          <w:szCs w:val="24"/>
        </w:rPr>
        <w:t>feedback</w:t>
      </w:r>
      <w:r w:rsidR="00800E19">
        <w:rPr>
          <w:sz w:val="24"/>
          <w:szCs w:val="24"/>
        </w:rPr>
        <w:t xml:space="preserve"> on scripts and produced components</w:t>
      </w:r>
      <w:r w:rsidRPr="008464D0">
        <w:rPr>
          <w:sz w:val="24"/>
          <w:szCs w:val="24"/>
        </w:rPr>
        <w:t>.</w:t>
      </w:r>
    </w:p>
    <w:bookmarkEnd w:id="1"/>
    <w:p w14:paraId="553BF020" w14:textId="77777777" w:rsidR="008961AE" w:rsidRDefault="008961AE" w:rsidP="008961AE">
      <w:pPr>
        <w:pStyle w:val="ListParagraph"/>
        <w:ind w:left="792"/>
        <w:rPr>
          <w:sz w:val="24"/>
          <w:szCs w:val="24"/>
        </w:rPr>
      </w:pPr>
    </w:p>
    <w:p w14:paraId="73685F0D" w14:textId="00896EE1" w:rsidR="00D679DD" w:rsidRPr="00702B2C" w:rsidRDefault="00D679DD" w:rsidP="00D679DD">
      <w:pPr>
        <w:pStyle w:val="ListParagraph"/>
        <w:numPr>
          <w:ilvl w:val="0"/>
          <w:numId w:val="7"/>
        </w:numPr>
        <w:rPr>
          <w:b/>
          <w:bCs/>
          <w:sz w:val="24"/>
          <w:szCs w:val="24"/>
        </w:rPr>
      </w:pPr>
      <w:r w:rsidRPr="00702B2C">
        <w:rPr>
          <w:b/>
          <w:bCs/>
          <w:sz w:val="24"/>
          <w:szCs w:val="24"/>
        </w:rPr>
        <w:t>Useability</w:t>
      </w:r>
      <w:r w:rsidR="003306DD">
        <w:rPr>
          <w:b/>
          <w:bCs/>
          <w:sz w:val="24"/>
          <w:szCs w:val="24"/>
        </w:rPr>
        <w:fldChar w:fldCharType="begin" w:fldLock="1"/>
      </w:r>
      <w:r w:rsidR="00E03EDF">
        <w:rPr>
          <w:b/>
          <w:bCs/>
          <w:sz w:val="24"/>
          <w:szCs w:val="24"/>
        </w:rPr>
        <w:instrText>ADDIN CSL_CITATION {"citationItems":[{"id":"ITEM-1","itemData":{"DOI":"10.2196/49449","ISSN":"2291-5222","abstract":"Background: Usability has been touted as one determiner of success of mobile health (mHealth) interventions. Multiple systematic reviews of usability assessment approaches for different mHealth solutions for physical rehabilitation are available. However, there is a lack of synthesis in this portion of the literature, which results in clinicians and developers devoting a significant amount of time and effort in analyzing and summarizing a large body of systematic reviews. Objective: This study aims to summarize systematic reviews examining usability assessment instruments, or measurements tools, in mHealth interventions including physical rehabilitation. Methods: An umbrella review was conducted according to a published registered protocol. A topic-based search of PubMed, Cochrane, IEEE Xplore, Epistemonikos, Web of Science, and CINAHL Complete was conducted from January 2015 to April 2023 for systematic reviews investigating usability assessment instruments in mHealth interventions including physical exercise rehabilitation. Eligibility screening included date, language, participant, and article type. Data extraction and assessment of the methodological quality (AMSTAR 2 [A Measurement Tool to Assess Systematic Reviews 2]) was completed and tabulated for synthesis. Results: A total of 12 systematic reviews were included, of which 3 (25%) did not refer to any theoretical usability framework and the remaining (n=9, 75%) most commonly referenced the ISO framework. The sample referenced a total of 32 usability assessment instruments and 66 custom-made, as well as hybrid, instruments. Information on psychometric properties was included for 9 (28%) instruments with satisfactory internal consistency and structural validity. A lack of reliability, responsiveness, and cross-cultural validity data was found. The methodological quality of the systematic reviews was limited, with 8 (67%) studies displaying 2 or more critical weaknesses. Conclusions: There is significant diversity in the usability assessment of mHealth for rehabilitation, and a link to theoretical models is often lacking. There is widespread use of custom-made instruments, and preexisting instruments often do not display sufficient psychometric strength. As a result, existing mHealth usability evaluations are difficult to compare. It is proposed that multimethod usability assessment is used and that, in the selection of usability assessment instruments, there is a focus on explicit reference to the…","author":[{"dropping-particle":"","family":"Hach","given":"Sylvia","non-dropping-particle":"","parse-names":false,"suffix":""},{"dropping-particle":"","family":"Alder","given":"Gemma","non-dropping-particle":"","parse-names":false,"suffix":""},{"dropping-particle":"","family":"Stavric","given":"Verna","non-dropping-particle":"","parse-names":false,"suffix":""},{"dropping-particle":"","family":"Taylor","given":"Denise","non-dropping-particle":"","parse-names":false,"suffix":""},{"dropping-particle":"","family":"Signal","given":"Nada","non-dropping-particle":"","parse-names":false,"suffix":""}],"container-title":"JMIR Mhealth Uhealth","id":"ITEM-1","issued":{"date-parts":[["2024"]]},"page":"e49449","title":"Usability Assessment Methods for Mobile Apps for Physical Rehabilitation: Umbrella Review","type":"article-journal","volume":"12"},"uris":["http://www.mendeley.com/documents/?uuid=87204591-dbcf-4819-84cd-839104f807d8"]},{"id":"ITEM-2","itemData":{"DOI":"10.2196/41359","ISSN":"2369-2529","abstract":"Background: The field of rehabilitation has seen a recent rise in technologies to support shared decision-making (SDM). Usability testing during the design process of SDM technologies is needed to optimize adoption and realize potential benefits. There is variability in how usability is defined and measured. Given the complexity of usability, a thorough examination of the methodologies used to measure usability to develop the SDM technologies used in rehabilitation care is needed. Objective: This scoping review aims to answer the following research questions: which methods and measures have been used to produce knowledge about the usability of rehabilitation technologies aimed at supporting SDM at the different phases of development and implementation? Which parameters of usability have been measured and reported? Methods: This review followed the Arksey and O’Malley framework. An electronic search was performed in the Ovid MEDLINE, Embase, CINAHL, and PsycINFO databases from January 2005 up to November 2020. In total, 2 independent reviewers screened all retrieved titles, abstracts, and full texts according to the inclusion criteria and extracted the data. The International Organization for Standardization framework was used to define the scope of usability (effectiveness, efficiency, and satisfaction). The characteristics of the studies were outlined in a descriptive summary. Findings were categorized based on usability parameters, technology interventions, and measures of usability. Results: A total of 38 articles were included. The most common SDM technologies were web-based aids (15/33, 46%). The usability of SDM technologies was assessed during development, preimplementation, or implementation, using 14 different methods. The most frequent methods were questionnaires (24/38, 63%) and semistructured interviews (16/38, 42%). Satisfaction (27/38, 71%) was the most common usability parameter mapped to types of SDM technologies and usability evaluation methods. User-centered design (9/15, 60%) was the most frequently used technology design framework. Conclusions: The results from this scoping review highlight the importance and the complexity of usability evaluation. Although various methods and measures were shown to be used to evaluate the usability of technologies to support SDM in rehabilitation, very few evaluations used in the included studies were found to adequately span the selected usability domains. This review identified gaps in usability e…","author":[{"dropping-particle":"","family":"Alhasani","given":"Rehab","non-dropping-particle":"","parse-names":false,"suffix":""},{"dropping-particle":"","family":"George","given":"Nicole","non-dropping-particle":"","parse-names":false,"suffix":""},{"dropping-particle":"","family":"Radman","given":"Dennis","non-dropping-particle":"","parse-names":false,"suffix":""},{"dropping-particle":"","family":"Auger","given":"Claudine","non-dropping-particle":"","parse-names":false,"suffix":""},{"dropping-particle":"","family":"Ahmed","given":"Sara","non-dropping-particle":"","parse-names":false,"suffix":""}],"container-title":"JMIR Rehabil Assist Technol","id":"ITEM-2","issued":{"date-parts":[["2023"]]},"page":"e41359","title":"Methodologies for Evaluating the Usability of Rehabilitation Technologies Aimed at Supporting Shared Decision-Making: Scoping Review","type":"article-journal","volume":"10"},"uris":["http://www.mendeley.com/documents/?uuid=5090b17a-ad75-4474-969b-c176c956ab75"]},{"id":"ITEM-3","itemData":{"DOI":"10.3991/IJIM.V14I05.13353","ISSN":"18657923","abstract":"In the recent years, mobile is found to be useful since they allow the user to perform more tasks in a mobile context. However, this usefulness come at the expense of the usability of these devices in some contexts. Thus, usability becomes an important factor in the adoption of mobile applications (such as mobile tracking applications, mobile health and mobile learning), which are often used by people who have problems when using mobile devices and who have a limited experience of technology. It is critical in the Mobile domain to ensure the success of mobile applications. Despite some studies review usability evaluation, regrettably there are no systematic literature reviews focused on usability evaluation of mobile tracking applications. Consequently, in this study, the researchers strive to present the results of a systematic literature review (SLR) involving the use of usability evaluation techniques in Mobile tracking applications. Based on three research questions, the results indicated that, there are three kinds of the Mobile tracking applications namely: information tracking, location tracking, information, and location tracking. In addition, and regard to the techniques used to evaluate the usability, the experimental study was the regularly used in the selected studies. Finally, the results shown that, for characteristics were frequently exploited to measure the usability of mobile tracking application are Effectiveness, Efficiency, Usefulness and Accurate. This study is valuable for the researchers who need to evaluate the usability for any new mobile application through explored the appropriate methods used to evaluation the usability and indicators required for this purpose.","author":[{"dropping-particle":"","family":"Saare","given":"Murtaja Ali","non-dropping-particle":"","parse-names":false,"suffix":""},{"dropping-particle":"Bin","family":"Hussain","given":"Azham","non-dropping-particle":"","parse-names":false,"suffix":""},{"dropping-particle":"","family":"Jasim","given":"Osamah Mohammed","non-dropping-particle":"","parse-names":false,"suffix":""},{"dropping-particle":"","family":"Mahdi","given":"Alia Ahmed","non-dropping-particle":"","parse-names":false,"suffix":""}],"container-title":"International Journal of Interactive Mobile Technologies","id":"ITEM-3","issue":"5","issued":{"date-parts":[["2020"]]},"page":"119-128","title":"Usability evaluation of mobile tracking applications: A systematic review","type":"article-journal","volume":"14"},"uris":["http://www.mendeley.com/documents/?uuid=1f8a59ce-1939-4440-962f-f48ad5b8c1f0"]},{"id":"ITEM-4","itemData":{"DOI":"10.1155/2018/5387896","ISSN":"16877055","abstract":"This article aims to understand which methods and user assessment approaches are most commonly used in motor rehabilitation studies that use Augmented Reality (AR) applications. The way in which this was performed and discussed was through a systematic review of the area. Firstly, the different uses of AR in these treatments, and the importance of improving usability studies to evaluate these interfaces and their interactions with their users, were discussed. Then, the systematic review of the literature was structured according to previous studies and covered the period from 2007 to September 2017, using the main scientific journals of the area. Of the 666 results collected in the initial search, 32 articles were selected within the planned requirements and scope. These publications were classified by relevance, using the QualSyst evaluation tool for health technology research, and the type of evaluation, approach, and methods used were catalogued. It was found that most of the studies prioritise methods of data collection, such as task execution and performance analysis. However, through QualSyst, it was verified that the best-evaluated studies chose to use a combination of quantitative and qualitative analysis, through the application of methods such as user preference questionnaires, interviews, and observations. The results presented in this review may benefit designers who intend to design and conduct usability assessments for AR within this context.","author":[{"dropping-particle":"","family":"Cavalcanti","given":"Virginia C.","non-dropping-particle":"","parse-names":false,"suffix":""},{"dropping-particle":"","family":"Santana","given":"Maria I.","non-dropping-particle":"De","parse-names":false,"suffix":""},{"dropping-particle":"","family":"Gama","given":"Alana E.F.","non-dropping-particle":"Da","parse-names":false,"suffix":""},{"dropping-particle":"","family":"Correia","given":"Walter F.M.","non-dropping-particle":"","parse-names":false,"suffix":""}],"container-title":"International Journal of Computer Games Technology","id":"ITEM-4","issued":{"date-parts":[["2018"]]},"title":"Usability assessments for augmented reality motor rehabilitation solutions: A systematic review","type":"article-journal","volume":"2018"},"uris":["http://www.mendeley.com/documents/?uuid=671e12ca-1084-40e1-ae8e-240f24509a7d"]}],"mendeley":{"formattedCitation":"&lt;sup&gt;25–28&lt;/sup&gt;","plainTextFormattedCitation":"25–28","previouslyFormattedCitation":"&lt;sup&gt;25–28&lt;/sup&gt;"},"properties":{"noteIndex":0},"schema":"https://github.com/citation-style-language/schema/raw/master/csl-citation.json"}</w:instrText>
      </w:r>
      <w:r w:rsidR="003306DD">
        <w:rPr>
          <w:b/>
          <w:bCs/>
          <w:sz w:val="24"/>
          <w:szCs w:val="24"/>
        </w:rPr>
        <w:fldChar w:fldCharType="separate"/>
      </w:r>
      <w:r w:rsidR="003306DD" w:rsidRPr="003306DD">
        <w:rPr>
          <w:bCs/>
          <w:noProof/>
          <w:sz w:val="24"/>
          <w:szCs w:val="24"/>
          <w:vertAlign w:val="superscript"/>
        </w:rPr>
        <w:t>25–28</w:t>
      </w:r>
      <w:r w:rsidR="003306DD">
        <w:rPr>
          <w:b/>
          <w:bCs/>
          <w:sz w:val="24"/>
          <w:szCs w:val="24"/>
        </w:rPr>
        <w:fldChar w:fldCharType="end"/>
      </w:r>
      <w:r w:rsidRPr="00702B2C">
        <w:rPr>
          <w:b/>
          <w:bCs/>
          <w:sz w:val="24"/>
          <w:szCs w:val="24"/>
        </w:rPr>
        <w:t>, Equity</w:t>
      </w:r>
      <w:r w:rsidR="005E797F">
        <w:rPr>
          <w:b/>
          <w:bCs/>
          <w:sz w:val="24"/>
          <w:szCs w:val="24"/>
        </w:rPr>
        <w:fldChar w:fldCharType="begin" w:fldLock="1"/>
      </w:r>
      <w:r w:rsidR="005E797F">
        <w:rPr>
          <w:b/>
          <w:bCs/>
          <w:sz w:val="24"/>
          <w:szCs w:val="24"/>
        </w:rPr>
        <w:instrText>ADDIN CSL_CITATION {"citationItems":[{"id":"ITEM-1","itemData":{"DOI":"10.12927/hcq.2022.26768","ISSN":"17102774","PMID":"35467517","abstract":"Equity-Mobilizing Partnerships in Community (EMPaCT) is a novel approach to patient engagement that centres diverse lived experiences and promotes equity-oriented and inclusive partnerships. As an independent community table, EMPaCT is made up primarily of patients/diverse members of community. Researchers and other decision makers come to this table with their projects to learn how to make their project more inclusive and equitable. In this paper, we detail how we used participatory co-design to define, build and grow EMPaCT as an innovative and scalable patient partnership model that promotes bottom-up action for health equity.","author":[{"dropping-particle":"","family":"Sayani","given":"Ambreen","non-dropping-particle":"","parse-names":false,"suffix":""},{"dropping-particle":"","family":"Maybee","given":"Alies","non-dropping-particle":"","parse-names":false,"suffix":""},{"dropping-particle":"","family":"Manthorne","given":"Jackie","non-dropping-particle":"","parse-names":false,"suffix":""},{"dropping-particle":"","family":"Nicholson","given":"Erika","non-dropping-particle":"","parse-names":false,"suffix":""},{"dropping-particle":"","family":"Bloch","given":"Gary","non-dropping-particle":"","parse-names":false,"suffix":""},{"dropping-particle":"","family":"Parsons","given":"Janet A.","non-dropping-particle":"","parse-names":false,"suffix":""},{"dropping-particle":"","family":"Hwang","given":"Stephen W.","non-dropping-particle":"","parse-names":false,"suffix":""},{"dropping-particle":"","family":"Shaw","given":"James A.","non-dropping-particle":"","parse-names":false,"suffix":""},{"dropping-particle":"","family":"Lofters","given":"Aisha","non-dropping-particle":"","parse-names":false,"suffix":""},{"dropping-particle":"","family":"Cordeaux","given":"Emily","non-dropping-particle":"","parse-names":false,"suffix":""},{"dropping-particle":"","family":"Hinds","given":"Ryan","non-dropping-particle":"","parse-names":false,"suffix":""},{"dropping-particle":"","family":"Jeji","given":"Tara","non-dropping-particle":"","parse-names":false,"suffix":""},{"dropping-particle":"","family":"Khan","given":"Omar","non-dropping-particle":"","parse-names":false,"suffix":""},{"dropping-particle":"","family":"Lee","given":"Bee","non-dropping-particle":"","parse-names":false,"suffix":""},{"dropping-particle":"","family":"Mensah","given":"Desiree","non-dropping-particle":"","parse-names":false,"suffix":""},{"dropping-particle":"","family":"Monteith","given":"Linda","non-dropping-particle":"","parse-names":false,"suffix":""},{"dropping-particle":"","family":"Musawi","given":"Mursal","non-dropping-particle":"","parse-names":false,"suffix":""},{"dropping-particle":"","family":"Rathbone","given":"Marlene","non-dropping-particle":"","parse-names":false,"suffix":""},{"dropping-particle":"","family":"Robinson","given":"Jill","non-dropping-particle":"","parse-names":false,"suffix":""},{"dropping-particle":"","family":"Sterling","given":"Staceyan","non-dropping-particle":"","parse-names":false,"suffix":""},{"dropping-particle":"","family":"Wardak","given":"Dean","non-dropping-particle":"","parse-names":false,"suffix":""}],"container-title":"Healthcare Quarterly","id":"ITEM-1","issue":"Speacial Issue","issued":{"date-parts":[["2022"]]},"page":"86-92","title":"Equity-Mobilizing Partnerships in Community (EMPaCT): Co-Designing Patient Engagement to Promote Health Equity","type":"article-journal","volume":"24"},"uris":["http://www.mendeley.com/documents/?uuid=59724e75-86a0-4a93-909a-8a4e889e354d"]},{"id":"ITEM-2","itemData":{"DOI":"10.2196/18399","ISSN":"14388871","PMID":"33164905","abstract":"Background: eHealth can help reduce social health inequalities (SHIs) as much as it can exacerbate them. Taking a co-design approach to the development of eHealth tools has the potential to ensure that these tools are inclusive. Although the importance of involving future users in the development of eHealth tools to reduce SHIs is highlighted in the scientific literature, the challenges associated with their participation question the benefits of this involvement as co-designers in a real-world context. Objective: On the basis of Amartya Sen’s theoretical framework of social justice, the aim of this study is to explore how co-design can support the development of an inclusive eHealth tool for caregivers of functionally dependent older persons. Methods: This study is based on a social justice design and participant observation as part of a large-scale research project funded by the Ministry of Families as part of the Age-Friendly Quebec Program (Québec Ami des Aînés). The analysis was based on the method developed by Miles and Huberman and on Paillé’s analytical questioning method. Results: A total of 78 people participated in 11 co-design sessions in 11 Quebec regions. A total of 24 preparatory meetings and 11 debriefing sessions were required to complete this process. Co-designers participated in the creation of a prototype to support the search for formal services for caregivers. The majority of participants (except for 2) significantly contributed to the tool’s designing. They also incorporated conversion factors to ensure the inclusiveness of the eHealth tool, such as an adequate level of digital literacy and respect for the caregiver’s help-seeking process. In the course of the experiment, the research team’s position regarding its role in co-design evolved from a neutral posture and promoting co-designer participation to one that was more pragmatic. Conclusions: The use of co-design involving participants at risk of SHIs does not guarantee innovation, but it does guarantee that the tool developed will comply with their process of help-seeking and their literacy level. Time issues interfere with efforts to carry out a democratic process in its ideal form. It would be useful to single out some key issues to guide researchers on what should be addressed in co-design discussions and what can be left out to make optimal use of this approach in a real-world context.","author":[{"dropping-particle":"","family":"Latulippe","given":"Karine","non-dropping-particle":"","parse-names":false,"suffix":""},{"dropping-particle":"","family":"Hamel","given":"Christine","non-dropping-particle":"","parse-names":false,"suffix":""},{"dropping-particle":"","family":"Giroux","given":"Dominique","non-dropping-particle":"","parse-names":false,"suffix":""}],"container-title":"Journal of Medical Internet Research","id":"ITEM-2","issue":"11","issued":{"date-parts":[["2020"]]},"title":"Co-Design to Support the Development of Inclusive eHealth Tools for Caregivers of Functionally Dependent Older Persons: Social Justice Design","type":"article-journal","volume":"22"},"uris":["http://www.mendeley.com/documents/?uuid=f6854fd9-6469-403b-ba6f-ef6311edb2fc"]}],"mendeley":{"formattedCitation":"&lt;sup&gt;29,30&lt;/sup&gt;","plainTextFormattedCitation":"29,30","previouslyFormattedCitation":"&lt;sup&gt;29,30&lt;/sup&gt;"},"properties":{"noteIndex":0},"schema":"https://github.com/citation-style-language/schema/raw/master/csl-citation.json"}</w:instrText>
      </w:r>
      <w:r w:rsidR="005E797F">
        <w:rPr>
          <w:b/>
          <w:bCs/>
          <w:sz w:val="24"/>
          <w:szCs w:val="24"/>
        </w:rPr>
        <w:fldChar w:fldCharType="separate"/>
      </w:r>
      <w:r w:rsidR="005E797F" w:rsidRPr="005E797F">
        <w:rPr>
          <w:bCs/>
          <w:noProof/>
          <w:sz w:val="24"/>
          <w:szCs w:val="24"/>
          <w:vertAlign w:val="superscript"/>
        </w:rPr>
        <w:t>29,30</w:t>
      </w:r>
      <w:r w:rsidR="005E797F">
        <w:rPr>
          <w:b/>
          <w:bCs/>
          <w:sz w:val="24"/>
          <w:szCs w:val="24"/>
        </w:rPr>
        <w:fldChar w:fldCharType="end"/>
      </w:r>
      <w:r w:rsidRPr="00702B2C">
        <w:rPr>
          <w:b/>
          <w:bCs/>
          <w:sz w:val="24"/>
          <w:szCs w:val="24"/>
        </w:rPr>
        <w:t xml:space="preserve"> and Inclusion Strategy</w:t>
      </w:r>
    </w:p>
    <w:p w14:paraId="06137CD2" w14:textId="77777777" w:rsidR="00D679DD" w:rsidRPr="008464D0" w:rsidRDefault="00D679DD" w:rsidP="00D679DD">
      <w:pPr>
        <w:pStyle w:val="ListParagraph"/>
        <w:numPr>
          <w:ilvl w:val="1"/>
          <w:numId w:val="7"/>
        </w:numPr>
        <w:spacing w:before="240"/>
        <w:rPr>
          <w:sz w:val="24"/>
          <w:szCs w:val="24"/>
        </w:rPr>
      </w:pPr>
      <w:r w:rsidRPr="008464D0">
        <w:rPr>
          <w:sz w:val="24"/>
          <w:szCs w:val="24"/>
        </w:rPr>
        <w:t>Define “who might be left behind” and needs of diverse subgroups (equity and clinical experts and target user consultations)</w:t>
      </w:r>
    </w:p>
    <w:p w14:paraId="34A84AF3" w14:textId="77777777" w:rsidR="00D679DD" w:rsidRPr="008464D0" w:rsidRDefault="00D679DD" w:rsidP="00D679DD">
      <w:pPr>
        <w:pStyle w:val="ListParagraph"/>
        <w:numPr>
          <w:ilvl w:val="1"/>
          <w:numId w:val="7"/>
        </w:numPr>
        <w:rPr>
          <w:sz w:val="24"/>
          <w:szCs w:val="24"/>
        </w:rPr>
      </w:pPr>
      <w:r w:rsidRPr="008464D0">
        <w:rPr>
          <w:sz w:val="24"/>
          <w:szCs w:val="24"/>
        </w:rPr>
        <w:t>Determine capacity and priority for adaptive responsive design features, versions or content to improve equity.</w:t>
      </w:r>
    </w:p>
    <w:p w14:paraId="37500AC5" w14:textId="77777777" w:rsidR="00D679DD" w:rsidRPr="008464D0" w:rsidRDefault="00D679DD" w:rsidP="00D679DD">
      <w:pPr>
        <w:pStyle w:val="ListParagraph"/>
        <w:numPr>
          <w:ilvl w:val="1"/>
          <w:numId w:val="7"/>
        </w:numPr>
        <w:rPr>
          <w:sz w:val="24"/>
          <w:szCs w:val="24"/>
        </w:rPr>
      </w:pPr>
      <w:r w:rsidRPr="008464D0">
        <w:rPr>
          <w:sz w:val="24"/>
          <w:szCs w:val="24"/>
        </w:rPr>
        <w:t>Health literacy evaluations and content clarification</w:t>
      </w:r>
    </w:p>
    <w:p w14:paraId="14B9EDC7" w14:textId="77777777" w:rsidR="00D679DD" w:rsidRPr="008464D0" w:rsidRDefault="00D679DD" w:rsidP="00D679DD">
      <w:pPr>
        <w:pStyle w:val="ListParagraph"/>
        <w:numPr>
          <w:ilvl w:val="1"/>
          <w:numId w:val="7"/>
        </w:numPr>
        <w:rPr>
          <w:sz w:val="24"/>
          <w:szCs w:val="24"/>
        </w:rPr>
      </w:pPr>
      <w:r w:rsidRPr="008464D0">
        <w:rPr>
          <w:sz w:val="24"/>
          <w:szCs w:val="24"/>
        </w:rPr>
        <w:t>Useability Analysis (e.g., Observational, cognitive interviews, surveys, qualitative).</w:t>
      </w:r>
    </w:p>
    <w:p w14:paraId="1C682B85" w14:textId="77777777" w:rsidR="00D679DD" w:rsidRDefault="00D679DD" w:rsidP="008961AE">
      <w:pPr>
        <w:pStyle w:val="ListParagraph"/>
        <w:ind w:left="792"/>
        <w:rPr>
          <w:sz w:val="24"/>
          <w:szCs w:val="24"/>
        </w:rPr>
      </w:pPr>
    </w:p>
    <w:p w14:paraId="17DC2446" w14:textId="77777777" w:rsidR="00D679DD" w:rsidRPr="008464D0" w:rsidRDefault="00D679DD" w:rsidP="008961AE">
      <w:pPr>
        <w:pStyle w:val="ListParagraph"/>
        <w:ind w:left="792"/>
        <w:rPr>
          <w:sz w:val="24"/>
          <w:szCs w:val="24"/>
        </w:rPr>
      </w:pPr>
    </w:p>
    <w:p w14:paraId="229AABFE" w14:textId="29BDBF3C" w:rsidR="00D679DD" w:rsidRDefault="00D679DD" w:rsidP="00D679DD">
      <w:pPr>
        <w:pStyle w:val="ListParagraph"/>
        <w:numPr>
          <w:ilvl w:val="0"/>
          <w:numId w:val="7"/>
        </w:numPr>
        <w:rPr>
          <w:sz w:val="24"/>
          <w:szCs w:val="24"/>
        </w:rPr>
      </w:pPr>
      <w:r w:rsidRPr="00D679DD">
        <w:rPr>
          <w:b/>
          <w:bCs/>
          <w:sz w:val="24"/>
          <w:szCs w:val="24"/>
        </w:rPr>
        <w:t>Pedagogical Design</w:t>
      </w:r>
      <w:r w:rsidR="005E797F">
        <w:rPr>
          <w:b/>
          <w:bCs/>
          <w:sz w:val="24"/>
          <w:szCs w:val="24"/>
        </w:rPr>
        <w:fldChar w:fldCharType="begin" w:fldLock="1"/>
      </w:r>
      <w:r w:rsidR="005E797F">
        <w:rPr>
          <w:b/>
          <w:bCs/>
          <w:sz w:val="24"/>
          <w:szCs w:val="24"/>
        </w:rPr>
        <w:instrText>ADDIN CSL_CITATION {"citationItems":[{"id":"ITEM-1","itemData":{"DOI":"10.1177/2382120519840332","ISSN":"2382-1205","PMID":"31008257","abstract":"Background Adult learning theories play a pivotal role in the design and implementation of education programs, including healthcare professional programs. There is a variation in the use of theories in healthcare professional education programs and this is may be in part due to a lack of understanding of the range of learning theories available and paucity of specific, in-context examples, to help educators in considering alternative theories relevant to their teaching setting. This article seeks to synthesize key learning theories applicable in the learning and teaching of healthcare professionals and to provide examples of their use in context. Method and results A literature review was conducted in 2015 and 2016 using PubMed, Scopus, Web of Science, and ERIC academic databases. Search terms used identified a range of relevant literature about learning theories, and their utilization in different healthcare professional education programs. The findings were synthesized and presented in a table format, illustrating the learning theory, specific examples from health and medical education, and a very brief critique of the theory. Outcome The literature synthesis provides a quick and easy-to-use summary of key theories and examples of their use to help healthcare professional educators access a wider range of learning theories to inform their instructional strategies, learning objectives, and evaluation approaches. This will ultimately result in educational program enhancement and improvement in student learning experiences.","author":[{"dropping-particle":"","family":"Mukhalalati","given":"Banan Abdulrzaq","non-dropping-particle":"","parse-names":false,"suffix":""},{"dropping-particle":"","family":"Taylor","given":"Andrea","non-dropping-particle":"","parse-names":false,"suffix":""}],"container-title":"Journal of Medical Education and Curricular Development","id":"ITEM-1","issued":{"date-parts":[["2019"]]},"page":"238212051984033","title":"Adult Learning Theories in Context: A Quick Guide for Healthcare Professional Educators","type":"article-journal","volume":"6"},"uris":["http://www.mendeley.com/documents/?uuid=fc0a99fa-85e0-4d3f-8ec2-0c1cb4d67758"]}],"mendeley":{"formattedCitation":"&lt;sup&gt;31&lt;/sup&gt;","plainTextFormattedCitation":"31","previouslyFormattedCitation":"&lt;sup&gt;31&lt;/sup&gt;"},"properties":{"noteIndex":0},"schema":"https://github.com/citation-style-language/schema/raw/master/csl-citation.json"}</w:instrText>
      </w:r>
      <w:r w:rsidR="005E797F">
        <w:rPr>
          <w:b/>
          <w:bCs/>
          <w:sz w:val="24"/>
          <w:szCs w:val="24"/>
        </w:rPr>
        <w:fldChar w:fldCharType="separate"/>
      </w:r>
      <w:r w:rsidR="005E797F" w:rsidRPr="005E797F">
        <w:rPr>
          <w:bCs/>
          <w:noProof/>
          <w:sz w:val="24"/>
          <w:szCs w:val="24"/>
          <w:vertAlign w:val="superscript"/>
        </w:rPr>
        <w:t>31</w:t>
      </w:r>
      <w:r w:rsidR="005E797F">
        <w:rPr>
          <w:b/>
          <w:bCs/>
          <w:sz w:val="24"/>
          <w:szCs w:val="24"/>
        </w:rPr>
        <w:fldChar w:fldCharType="end"/>
      </w:r>
    </w:p>
    <w:p w14:paraId="1ADE52AA" w14:textId="6A56646E" w:rsidR="00ED34DB" w:rsidRDefault="00033BA1" w:rsidP="00D679DD">
      <w:pPr>
        <w:pStyle w:val="ListParagraph"/>
        <w:numPr>
          <w:ilvl w:val="1"/>
          <w:numId w:val="2"/>
        </w:numPr>
        <w:rPr>
          <w:sz w:val="24"/>
          <w:szCs w:val="24"/>
        </w:rPr>
      </w:pPr>
      <w:r w:rsidRPr="00D679DD">
        <w:rPr>
          <w:sz w:val="24"/>
          <w:szCs w:val="24"/>
        </w:rPr>
        <w:t xml:space="preserve">Design and embed learning </w:t>
      </w:r>
      <w:r w:rsidR="00702B2C" w:rsidRPr="00D679DD">
        <w:rPr>
          <w:sz w:val="24"/>
          <w:szCs w:val="24"/>
        </w:rPr>
        <w:t>strategies and</w:t>
      </w:r>
      <w:r w:rsidRPr="00D679DD">
        <w:rPr>
          <w:sz w:val="24"/>
          <w:szCs w:val="24"/>
        </w:rPr>
        <w:t xml:space="preserve"> interacti</w:t>
      </w:r>
      <w:r w:rsidR="00D679DD">
        <w:rPr>
          <w:sz w:val="24"/>
          <w:szCs w:val="24"/>
        </w:rPr>
        <w:t>vity</w:t>
      </w:r>
      <w:r w:rsidRPr="00D679DD">
        <w:rPr>
          <w:sz w:val="24"/>
          <w:szCs w:val="24"/>
        </w:rPr>
        <w:t xml:space="preserve"> (</w:t>
      </w:r>
      <w:r w:rsidR="00702B2C" w:rsidRPr="00D679DD">
        <w:rPr>
          <w:sz w:val="24"/>
          <w:szCs w:val="24"/>
        </w:rPr>
        <w:t>e.g.,</w:t>
      </w:r>
      <w:r w:rsidRPr="00D679DD">
        <w:rPr>
          <w:sz w:val="24"/>
          <w:szCs w:val="24"/>
        </w:rPr>
        <w:t xml:space="preserve"> teach-back, audit and </w:t>
      </w:r>
      <w:r w:rsidR="00702B2C" w:rsidRPr="00D679DD">
        <w:rPr>
          <w:sz w:val="24"/>
          <w:szCs w:val="24"/>
        </w:rPr>
        <w:t>feedback, self</w:t>
      </w:r>
      <w:r w:rsidRPr="00D679DD">
        <w:rPr>
          <w:sz w:val="24"/>
          <w:szCs w:val="24"/>
        </w:rPr>
        <w:t>-</w:t>
      </w:r>
      <w:r w:rsidR="00702B2C" w:rsidRPr="00D679DD">
        <w:rPr>
          <w:sz w:val="24"/>
          <w:szCs w:val="24"/>
        </w:rPr>
        <w:t>tests, community</w:t>
      </w:r>
      <w:r w:rsidRPr="00D679DD">
        <w:rPr>
          <w:sz w:val="24"/>
          <w:szCs w:val="24"/>
        </w:rPr>
        <w:t xml:space="preserve"> of practice, </w:t>
      </w:r>
      <w:r w:rsidR="00702B2C" w:rsidRPr="00D679DD">
        <w:rPr>
          <w:sz w:val="24"/>
          <w:szCs w:val="24"/>
        </w:rPr>
        <w:t>FAQ)</w:t>
      </w:r>
      <w:r w:rsidR="008961AE" w:rsidRPr="00D679DD">
        <w:rPr>
          <w:sz w:val="24"/>
          <w:szCs w:val="24"/>
        </w:rPr>
        <w:t>.</w:t>
      </w:r>
    </w:p>
    <w:p w14:paraId="25F06DF8" w14:textId="77777777" w:rsidR="006E4EA2" w:rsidRPr="008464D0" w:rsidRDefault="006E4EA2" w:rsidP="008961AE">
      <w:pPr>
        <w:pStyle w:val="ListParagraph"/>
        <w:ind w:left="792"/>
        <w:rPr>
          <w:sz w:val="24"/>
          <w:szCs w:val="24"/>
        </w:rPr>
      </w:pPr>
    </w:p>
    <w:p w14:paraId="14F466B4" w14:textId="78DDE6D3" w:rsidR="002F13D3" w:rsidRPr="00702B2C" w:rsidRDefault="002F13D3" w:rsidP="00D94444">
      <w:pPr>
        <w:pStyle w:val="ListParagraph"/>
        <w:numPr>
          <w:ilvl w:val="0"/>
          <w:numId w:val="7"/>
        </w:numPr>
        <w:rPr>
          <w:b/>
          <w:bCs/>
          <w:sz w:val="24"/>
          <w:szCs w:val="24"/>
        </w:rPr>
      </w:pPr>
      <w:r w:rsidRPr="00702B2C">
        <w:rPr>
          <w:b/>
          <w:bCs/>
          <w:sz w:val="24"/>
          <w:szCs w:val="24"/>
        </w:rPr>
        <w:t>Optimization through Revision/ Adaptation</w:t>
      </w:r>
    </w:p>
    <w:p w14:paraId="73ED31CC" w14:textId="5F071A0C" w:rsidR="00524EF6" w:rsidRPr="008464D0" w:rsidRDefault="00D679DD" w:rsidP="00D94444">
      <w:pPr>
        <w:pStyle w:val="ListParagraph"/>
        <w:numPr>
          <w:ilvl w:val="1"/>
          <w:numId w:val="7"/>
        </w:numPr>
        <w:rPr>
          <w:sz w:val="24"/>
          <w:szCs w:val="24"/>
        </w:rPr>
      </w:pPr>
      <w:r>
        <w:rPr>
          <w:sz w:val="24"/>
          <w:szCs w:val="24"/>
        </w:rPr>
        <w:t>Iterative c</w:t>
      </w:r>
      <w:r w:rsidR="00524EF6" w:rsidRPr="008464D0">
        <w:rPr>
          <w:sz w:val="24"/>
          <w:szCs w:val="24"/>
        </w:rPr>
        <w:t>onsult</w:t>
      </w:r>
      <w:r>
        <w:rPr>
          <w:sz w:val="24"/>
          <w:szCs w:val="24"/>
        </w:rPr>
        <w:t>ation with</w:t>
      </w:r>
      <w:r w:rsidR="00524EF6" w:rsidRPr="008464D0">
        <w:rPr>
          <w:sz w:val="24"/>
          <w:szCs w:val="24"/>
        </w:rPr>
        <w:t xml:space="preserve"> target audience, experts, users, and other stakeholders to refine.</w:t>
      </w:r>
    </w:p>
    <w:p w14:paraId="3C508A7E" w14:textId="77777777" w:rsidR="00524EF6" w:rsidRPr="008464D0" w:rsidRDefault="00524EF6" w:rsidP="00524EF6">
      <w:pPr>
        <w:pStyle w:val="ListParagraph"/>
        <w:ind w:left="360"/>
        <w:rPr>
          <w:sz w:val="24"/>
          <w:szCs w:val="24"/>
        </w:rPr>
      </w:pPr>
    </w:p>
    <w:p w14:paraId="594C3BD0" w14:textId="1E55A782" w:rsidR="002F13D3" w:rsidRPr="00702B2C" w:rsidRDefault="005E797F" w:rsidP="00D94444">
      <w:pPr>
        <w:pStyle w:val="ListParagraph"/>
        <w:numPr>
          <w:ilvl w:val="0"/>
          <w:numId w:val="7"/>
        </w:numPr>
        <w:rPr>
          <w:b/>
          <w:bCs/>
          <w:sz w:val="24"/>
          <w:szCs w:val="24"/>
        </w:rPr>
      </w:pPr>
      <w:r w:rsidRPr="00702B2C">
        <w:rPr>
          <w:b/>
          <w:bCs/>
          <w:sz w:val="24"/>
          <w:szCs w:val="24"/>
        </w:rPr>
        <w:t>Implementation</w:t>
      </w:r>
      <w:r>
        <w:rPr>
          <w:b/>
          <w:bCs/>
          <w:sz w:val="24"/>
          <w:szCs w:val="24"/>
        </w:rPr>
        <w:fldChar w:fldCharType="begin" w:fldLock="1"/>
      </w:r>
      <w:r>
        <w:rPr>
          <w:b/>
          <w:bCs/>
          <w:sz w:val="24"/>
          <w:szCs w:val="24"/>
        </w:rPr>
        <w:instrText>ADDIN CSL_CITATION {"citationItems":[{"id":"ITEM-1","itemData":{"DOI":"10.1186/s13012-016-0506-3","ISSN":"1748-5908","abstract":"Context is a problem in research on health behaviour change, knowledge translation, practice implementation and health improvement. This is because many intervention and evaluation designs seek to eliminate contextual confounders, when these represent the normal conditions into which interventions must be integrated if they are to be workable in practice.","author":[{"dropping-particle":"","family":"May","given":"Carl R","non-dropping-particle":"","parse-names":false,"suffix":""},{"dropping-particle":"","family":"Johnson","given":"Mark","non-dropping-particle":"","parse-names":false,"suffix":""},{"dropping-particle":"","family":"Finch","given":"Tracy","non-dropping-particle":"","parse-names":false,"suffix":""}],"container-title":"Implementation Science","id":"ITEM-1","issue":"1","issued":{"date-parts":[["2016"]]},"page":"141","title":"Implementation, context and complexity","type":"article-journal","volume":"11"},"uris":["http://www.mendeley.com/documents/?uuid=3ea443f1-0b8e-4387-ab60-89268dc4afb6"]},{"id":"ITEM-2","itemData":{"DOI":"10.1186/s13012-017-0605-9","ISSN":"17485908","PMID":"28637486","abstract":"Background: Implementing new practices requires changes in the behaviour of relevant actors, and this is facilitated by understanding of the determinants of current and desired behaviours. The Theoretical Domains Framework (TDF) was developed by a collaboration of behavioural scientists and implementation researchers who identified theories relevant to implementation and grouped constructs from these theories into domains. The collaboration aimed to provide a comprehensive, theory-informed approach to identify determinants of behaviour. The first version was published in 2005, and a subsequent version following a validation exercise was published in 2012. This guide offers practical guidance for those who wish to apply the TDF to assess implementation problems and support intervention design. It presents a brief rationale for using a theoretical approach to investigate and address implementation problems, summarises the TDF and its development, and describes how to apply the TDF to achieve implementation objectives. Examples from the implementation research literature are presented to illustrate relevant methods and practical considerations. Methods: Researchers from Canada, the UK and Australia attended a 3-day meeting in December 2012 to build an international collaboration among researchers and decision-makers interested in the advancing use of the TDF. The participants were experienced in using the TDF to assess implementation problems, design interventions, and/or understand change processes. This guide is an output of the meeting and also draws on the authors' collective experience. Examples from the implementation research literature judged by authors to be representative of specific applications of the TDF are included in this guide. Results: We explain and illustrate methods, with a focus on qualitative approaches, for selecting and specifying target behaviours key to implementation, selecting the study design, deciding the sampling strategy, developing study materials, collecting and analysing data, and reporting findings of TDF-based studies. Areas for development include methods for triangulating data, e.g. from interviews, questionnaires and observation and methods for designing interventions based on TDF-based problem analysis. Conclusions: We offer this guide to the implementation community to assist in the application of the TDF to achieve implementation objectives. Benefits of using the TDF include the provision of a theoretical basis f…","author":[{"dropping-particle":"","family":"Atkins","given":"Lou","non-dropping-particle":"","parse-names":false,"suffix":""},{"dropping-particle":"","family":"Francis","given":"Jill","non-dropping-particle":"","parse-names":false,"suffix":""},{"dropping-particle":"","family":"Islam","given":"Rafat","non-dropping-particle":"","parse-names":false,"suffix":""},{"dropping-particle":"","family":"O'Connor","given":"Denise","non-dropping-particle":"","parse-names":false,"suffix":""},{"dropping-particle":"","family":"Patey","given":"Andrea","non-dropping-particle":"","parse-names":false,"suffix":""},{"dropping-particle":"","family":"Ivers","given":"Noah","non-dropping-particle":"","parse-names":false,"suffix":""},{"dropping-particle":"","family":"Foy","given":"Robbie","non-dropping-particle":"","parse-names":false,"suffix":""},{"dropping-particle":"","family":"Duncan","given":"Eilidh M.","non-dropping-particle":"","parse-names":false,"suffix":""},{"dropping-particle":"","family":"Colquhoun","given":"Heather","non-dropping-particle":"","parse-names":false,"suffix":""},{"dropping-particle":"","family":"Grimshaw","given":"Jeremy M.","non-dropping-particle":"","parse-names":false,"suffix":""},{"dropping-particle":"","family":"Lawton","given":"Rebecca","non-dropping-particle":"","parse-names":false,"suffix":""},{"dropping-particle":"","family":"Michie","given":"Susan","non-dropping-particle":"","parse-names":false,"suffix":""}],"container-title":"Implementation Science","id":"ITEM-2","issue":"1","issued":{"date-parts":[["2017"]]},"page":"1-18","publisher":"Implementation Science","title":"A guide to using the Theoretical Domains Framework of behaviour change to investigate implementation problems","type":"article-journal","volume":"12"},"uris":["http://www.mendeley.com/documents/?uuid=7381385b-c041-4f9e-ab7e-605cca7bc08e"]},{"id":"ITEM-3","itemData":{"DOI":"10.1186/s13012-021-01181-5","ISSN":"17485908","PMID":"35065675","abstract":"Background: The challenges of implementing evidence-based innovations (EBIs) are widely recognized among practitioners and researchers. Context, broadly defined as everything outside the EBI, includes the dynamic and diverse array of forces working for or against implementation efforts. The Consolidated Framework for Implementation Research (CFIR) is one of the most widely used frameworks to guide assessment of contextual determinants of implementation. The original 2009 article invited critique in recognition for the need for the framework to evolve. As implementation science has matured, gaps in the CFIR have been identified and updates are needed. Our team is developing the CFIR 2.0 based on a literature review and follow-up survey with authors. We propose an Outcomes Addendum to the CFIR to address recommendations from these sources to include outcomes in the framework. Main text: We conducted a literature review and surveyed corresponding authors of included articles to identify recommendations for the CFIR. There were recommendations to add both implementation and innovation outcomes from these sources. Based on these recommendations, we make conceptual distinctions between (1) anticipated implementation outcomes and actual implementation outcomes, (2) implementation outcomes and innovation outcomes, and (3) CFIR-based implementation determinants and innovation determinants. Conclusion: An Outcomes Addendum to the CFIR is proposed. Our goal is to offer clear conceptual distinctions between types of outcomes for use with the CFIR, and perhaps other determinant implementation frameworks as well. These distinctions can help bring clarity as researchers consider which outcomes are most appropriate to evaluate in their research. We hope that sharing this in advance will generate feedback and debate about the merits of our proposed addendum.","author":[{"dropping-particle":"","family":"Damschroder","given":"Laura J.","non-dropping-particle":"","parse-names":false,"suffix":""},{"dropping-particle":"","family":"Reardon","given":"Caitlin M.","non-dropping-particle":"","parse-names":false,"suffix":""},{"dropping-particle":"","family":"Opra Widerquist","given":"Marilla A.","non-dropping-particle":"","parse-names":false,"suffix":""},{"dropping-particle":"","family":"Lowery","given":"Julie","non-dropping-particle":"","parse-names":false,"suffix":""}],"container-title":"Implementation Science","id":"ITEM-3","issue":"1","issued":{"date-parts":[["2022"]]},"page":"1-10","publisher":"BioMed Central","title":"Conceptualizing outcomes for use with the Consolidated Framework for Implementation Research (CFIR): the CFIR Outcomes Addendum","type":"article-journal","volume":"17"},"uris":["http://www.mendeley.com/documents/?uuid=e88a7161-3507-4b24-a2cd-43af2e83b1ae"]},{"id":"ITEM-4","itemData":{"DOI":"10.1186/s13012-017-0552-5","ISSN":"17485908","abstract":"Background: 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 Methods: The Context and Implementation of Complex Interventions (CICI) framework was developed in an iterative manner and underwent extensive application. An initial framework based on a scoping review was tested in rapid assessments, revealing inconsistencies with respect to the underlying concepts. Thus, pragmatic utility concept analysis was undertaken to advance the concepts of context and implementation. Based on these findings, the framework was revised and applied in several systematic reviews, one health technology assessment (HTA) and one applicability assessment of very different complex interventions. Lessons learnt from these applications and from peer review were incorporated, resulting in the CICI framework. Results: The CICI framework comprises three dimensions-context, implementation and setting-which interact with one another and with the intervention dimension. Context comprises seven domains (i.e., geographical, epidemiological, socio-cultural, socio-economic, ethical, legal, political); implementation consists of five domains (i.e., implementation theory, process, strategies, agents and outcomes); setting refers to the specific physical location, in which the intervention is put into practise. The intervention and the way it is implemented in a given setting and context can occur on a micro, meso and macro level. Tools to operationalise the framework comprise a checklist, data extraction tools for qualitative and quantitative reviews and a consultation guide for applicability assessments. Conclusions: The CICI framework addresses and graphically presents context, implementation and setting in an integrated way. It aims at simplifying and structuring complexity in order to advance our understanding of whether and how interventions work. The framework can be applied in systematic reviews and HTA as well as primary research and facilitate communication among teams …","author":[{"dropping-particle":"","family":"Pfadenhauer","given":"Lisa M.","non-dropping-particle":"","parse-names":false,"suffix":""},{"dropping-particle":"","family":"Gerhardus","given":"Ansgar","non-dropping-particle":"","parse-names":false,"suffix":""},{"dropping-particle":"","family":"Mozygemba","given":"Kati","non-dropping-particle":"","parse-names":false,"suffix":""},{"dropping-particle":"","family":"Lysdahl","given":"Kristin Bakke","non-dropping-particle":"","parse-names":false,"suffix":""},{"dropping-particle":"","family":"Booth","given":"Andrew","non-dropping-particle":"","parse-names":false,"suffix":""},{"dropping-particle":"","family":"Hofmann","given":"Bjørn","non-dropping-particle":"","parse-names":false,"suffix":""},{"dropping-particle":"","family":"Wahlster","given":"Philip","non-dropping-particle":"","parse-names":false,"suffix":""},{"dropping-particle":"","family":"Polus","given":"Stephanie","non-dropping-particle":"","parse-names":false,"suffix":""},{"dropping-particle":"","family":"Burns","given":"Jacob","non-dropping-particle":"","parse-names":false,"suffix":""},{"dropping-particle":"","family":"Brereton","given":"Louise","non-dropping-particle":"","parse-names":false,"suffix":""},{"dropping-particle":"","family":"Rehfuess","given":"Eva","non-dropping-particle":"","parse-names":false,"suffix":""}],"container-title":"Implementation Science","id":"ITEM-4","issued":{"date-parts":[["2017"]]},"title":"Making sense of complexity in context and implementation: The Context and Implementation of Complex Interventions (CICI) framework","type":"article-journal"},"uris":["http://www.mendeley.com/documents/?uuid=bb20b71c-f17b-418c-b8bf-9f2ebab68f83"]},{"id":"ITEM-5","itemData":{"DOI":"10.1186/1748-5908-4-50","ISSN":"17485908","PMID":"19664226","abstract":"Background: 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 Methods. We used a snowball sampling approach to identify published theories that were evaluated to identify constructs based on strength of conceptual or empirical support for influence on implementation, consistency in definitions, alignment with our own findings, and potential for measurement. We combined constructs across published theories that had different labels but were redundant or overlapping in definition, and we parsed apart constructs that conflated underlying concepts. Results. The CFIR is composed of five major domains: intervention characteristics, outer setting, inner setting, characteristics of the individuals involved, and the process of implementation. Eight constructs were identified related to the intervention (e.g., evidence strength and quality), four constructs were identified related to outer setting (e.g., patient needs and resources), 12 constructs were identified related to inner setting (e.g., culture, leadership engagement), five constructs were identified related to individual characteristics, and eight constructs were identified related to process (e.g., plan, evaluate, and reflect). We present explicit definitions for each construct. Conclusion. The CFIR provides a pragmatic structure for approaching complex, interacting, multi-level, and transient states of constructs in the real world by embracing, consolidating, and unifying key constructs from published implementation theories. It can be used to guide for…","author":[{"dropping-particle":"","family":"Damschroder","given":"Laura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C.","non-dropping-particle":"","parse-names":false,"suffix":""}],"container-title":"Implementation Science","id":"ITEM-5","issue":"1","issued":{"date-parts":[["2009"]]},"page":"1-15","title":"Fostering implementation of health services research findings into practice: A consolidated framework for advancing implementation science","type":"article-journal","volume":"4"},"uris":["http://www.mendeley.com/documents/?uuid=e7bee7ce-eeb2-4819-886e-75a58a49a585"]},{"id":"ITEM-6","itemData":{"DOI":"10.1186/s13012-015-0242-0","ISBN":"1301201502","ISSN":"1748-5908","PMID":"25895742","abstract":"Summary: This article proposes five categories of theoretical approaches to achieve three overarching aims. These categories are not always recognized as separate types of approaches in the literature. While there is overlap between some of the theories, models and frameworks, awareness of the differences is important to facilitate the selection of relevant approaches. Most determinant frameworks provide limited “how-to” support for carrying out implementation endeavours since the determinants usually are too generic to provide sufficient detail for guiding an implementation process. And while the relevance of addressing barriers and enablers to translating research into practice is mentioned in many process models, these models do not identify or systematically structure specific determinants associated with implementation success. Furthermore, process models recognize a temporal sequence of implementation endeavours, whereas determinant frameworks do not explicitly take a process perspective of implementation.","author":[{"dropping-particle":"","family":"Nilsen","given":"Per","non-dropping-particle":"","parse-names":false,"suffix":""}],"container-title":"Implementation Science","id":"ITEM-6","issue":"1","issued":{"date-parts":[["2015"]]},"title":"Making sense of implementation theories, models and frameworks","type":"article-journal","volume":"10"},"uris":["http://www.mendeley.com/documents/?uuid=33466176-209a-3b81-a5c6-e60183c9580d"]},{"id":"ITEM-7","itemData":{"DOI":"10.1186/1472-6963-7-148","ISSN":"14726963","abstract":"Background. The Normalization Process Model is a theoretical model that assists in explaining the processes by which complex interventions become routinely embedded in health care practice. It offers a framework for process evaluation and also for comparative studies of complex interventions. It focuses on the factors that promote or inhibit the routine embedding of complex interventions in health care practice. Methods. A formal theory structure is used to define the model, and its internal causal relations and mechanisms. The model is broken down to show that it is consistent and adequate in generating accurate description, systematic explanation, and the production of rational knowledge claims about the workability and integration of complex interventions. Results. The model explains the normalization of complex interventions by reference to four factors demonstrated to promote or inhibit the operationalization and embedding of complex interventions (interactional workability, relational integration, skill-set workability, and contextual integration). Conclusion. The model is consistent and adequate. Repeated calls for theoretically sound process evaluations in randomized controlled trials of complex interventions, and policy-makers who call for a proper understanding of implementation processes, emphasize the value of conceptual tools like the Normalization Process Model. © 2007 May et al; licensee BioMed Central Ltd.","author":[{"dropping-particle":"","family":"May","given":"Carl","non-dropping-particle":"","parse-names":false,"suffix":""},{"dropping-particle":"","family":"Finch","given":"Tracy","non-dropping-particle":"","parse-names":false,"suffix":""},{"dropping-particle":"","family":"Mair","given":"Frances","non-dropping-particle":"","parse-names":false,"suffix":""},{"dropping-particle":"","family":"Ballini","given":"Luciana","non-dropping-particle":"","parse-names":false,"suffix":""},{"dropping-particle":"","family":"Dowrick","given":"Christopher","non-dropping-particle":"","parse-names":false,"suffix":""},{"dropping-particle":"","family":"Eccles","given":"Martin","non-dropping-particle":"","parse-names":false,"suffix":""},{"dropping-particle":"","family":"Gask","given":"Linda","non-dropping-particle":"","parse-names":false,"suffix":""},{"dropping-particle":"","family":"MacFarlane","given":"Anne","non-dropping-particle":"","parse-names":false,"suffix":""},{"dropping-particle":"","family":"Murray","given":"Elizabeth","non-dropping-particle":"","parse-names":false,"suffix":""},{"dropping-particle":"","family":"Rapley","given":"Tim","non-dropping-particle":"","parse-names":false,"suffix":""},{"dropping-particle":"","family":"Rogers","given":"Anne","non-dropping-particle":"","parse-names":false,"suffix":""},{"dropping-particle":"","family":"Treweek","given":"Shaun","non-dropping-particle":"","parse-names":false,"suffix":""},{"dropping-particle":"","family":"Wallace","given":"Paul","non-dropping-particle":"","parse-names":false,"suffix":""},{"dropping-particle":"","family":"Anderson","given":"George","non-dropping-particle":"","parse-names":false,"suffix":""},{"dropping-particle":"","family":"Burns","given":"Jo","non-dropping-particle":"","parse-names":false,"suffix":""},{"dropping-particle":"","family":"Heaven","given":"Ben","non-dropping-particle":"","parse-names":false,"suffix":""}],"container-title":"BMC Health Services Research","id":"ITEM-7","issued":{"date-parts":[["2007"]]},"title":"Understanding the implementation of complex interventions in health care: The normalization process model","type":"article-journal"},"uris":["http://www.mendeley.com/documents/?uuid=95533a59-faaa-451d-94ba-f802487e70aa"]},{"id":"ITEM-8","itemData":{"DOI":"10.1186/1748-5908-2-40","ISBN":"1748-5908 (Electronic)\\r1748-5908 (Linking)","ISSN":"17485908","PMID":"18053122","abstract":"Implementation fidelity refers to the degree to which an intervention or programme is delivered as intended. Only by understanding and measuring whether an intervention has been implemented with fidelity can researchers and practitioners gain a better understanding of how and why an intervention works, and the extent to which outcomes can be improved. The authors undertook a critical review of existing conceptualisations of implementation fidelity and developed a new conceptual framework for understanding and measuring the process. The resulting theoretical framework requires testing by empirical research. Implementation fidelity is an important source of variation affecting the credibility and utility of research. The conceptual framework presented here offers a means for measuring this variable and understanding its place in the process of intervention implementation.","author":[{"dropping-particle":"","family":"Carroll","given":"Christopher","non-dropping-particle":"","parse-names":false,"suffix":""},{"dropping-particle":"","family":"Patterson","given":"Malcolm","non-dropping-particle":"","parse-names":false,"suffix":""},{"dropping-particle":"","family":"Wood","given":"Stephen","non-dropping-particle":"","parse-names":false,"suffix":""},{"dropping-particle":"","family":"Booth","given":"Andrew","non-dropping-particle":"","parse-names":false,"suffix":""},{"dropping-particle":"","family":"Rick","given":"Jo","non-dropping-particle":"","parse-names":false,"suffix":""},{"dropping-particle":"","family":"Balain","given":"Shashi","non-dropping-particle":"","parse-names":false,"suffix":""}],"container-title":"Implementation Science","id":"ITEM-8","issue":"1","issued":{"date-parts":[["2007"]]},"page":"1-9","title":"A conceptual framework for implementation fidelity","type":"article-journal","volume":"2"},"uris":["http://www.mendeley.com/documents/?uuid=37aae553-bf96-4393-911b-15271f9fd2b1"]},{"id":"ITEM-9","itemData":{"DOI":"10.1016/j.psychres.2019.04.025","ISSN":"0165-1781","abstract":"Centuries of experience make it clear that establishing the effectiveness of a clinical innovation is not sufficient to guarantee its uptake into routine use. The relatively new field of implementation science has developed to enhance the uptake of evidence-based practices and thereby increase their public health impact. Implementation science shares many characteristics, and the rigorous approach, of clinical research. However, it is distinct in that it attends to factors in addition to the effectiveness of the clinical innovation itself, to include identifying and addressing barriers and facilitators to the uptake of evidence-based clinical innovations. This article reviews the definition, history, and scope of implementation science, and places the field within the broader enterprise of biomedical research. It also provides an overview of this Special Issue of Psychiatry Research, which introduces the principles and methods of implementation science to mental health researchers.","author":[{"dropping-particle":"","family":"Bauer","given":"Mark S","non-dropping-particle":"","parse-names":false,"suffix":""},{"dropping-particle":"","family":"Kirchner","given":"JoAnn","non-dropping-particle":"","parse-names":false,"suffix":""}],"collection-title":"VSI:Implementation Science","container-title":"Psychiatry Research","id":"ITEM-9","issued":{"date-parts":[["2020"]]},"language":"en","page":"112376","title":"Implementation science: What is it and why should I care?","title-short":"Implementation science","type":"article-journal","volume":"283"},"uris":["http://www.mendeley.com/documents/?uuid=8bffe2c3-d98c-4c7c-9999-f7344ab252d1"]}],"mendeley":{"formattedCitation":"&lt;sup&gt;32–40&lt;/sup&gt;","plainTextFormattedCitation":"32–40","previouslyFormattedCitation":"&lt;sup&gt;32–40&lt;/sup&gt;"},"properties":{"noteIndex":0},"schema":"https://github.com/citation-style-language/schema/raw/master/csl-citation.json"}</w:instrText>
      </w:r>
      <w:r>
        <w:rPr>
          <w:b/>
          <w:bCs/>
          <w:sz w:val="24"/>
          <w:szCs w:val="24"/>
        </w:rPr>
        <w:fldChar w:fldCharType="separate"/>
      </w:r>
      <w:r w:rsidRPr="005E797F">
        <w:rPr>
          <w:bCs/>
          <w:noProof/>
          <w:sz w:val="24"/>
          <w:szCs w:val="24"/>
          <w:vertAlign w:val="superscript"/>
        </w:rPr>
        <w:t>32–40</w:t>
      </w:r>
      <w:r>
        <w:rPr>
          <w:b/>
          <w:bCs/>
          <w:sz w:val="24"/>
          <w:szCs w:val="24"/>
        </w:rPr>
        <w:fldChar w:fldCharType="end"/>
      </w:r>
      <w:r>
        <w:rPr>
          <w:b/>
          <w:bCs/>
          <w:sz w:val="24"/>
          <w:szCs w:val="24"/>
        </w:rPr>
        <w:t xml:space="preserve"> and</w:t>
      </w:r>
      <w:r w:rsidR="00654611">
        <w:rPr>
          <w:b/>
          <w:bCs/>
          <w:sz w:val="24"/>
          <w:szCs w:val="24"/>
        </w:rPr>
        <w:t xml:space="preserve"> Sustainability</w:t>
      </w:r>
      <w:r>
        <w:rPr>
          <w:b/>
          <w:bCs/>
          <w:sz w:val="24"/>
          <w:szCs w:val="24"/>
        </w:rPr>
        <w:fldChar w:fldCharType="begin" w:fldLock="1"/>
      </w:r>
      <w:r>
        <w:rPr>
          <w:b/>
          <w:bCs/>
          <w:sz w:val="24"/>
          <w:szCs w:val="24"/>
        </w:rPr>
        <w:instrText>ADDIN CSL_CITATION {"citationItems":[{"id":"ITEM-1","itemData":{"DOI":"10.1186/s13012-019-0910-6","ISSN":"17485908","PMID":"31171004","abstract":"Background: Sustainability of evidence-based interventions (EBI) remains a challenge for public health community-based institutions. The conceptual definition of sustainment is not universally agreed upon by researchers and practitioners, and strategies utilized to facilitate sustainment of EBI are not consistently reported in published literature. Given these limitations in the field, a systematic review was conducted to summarize the existing evidence supporting discrete sustainment strategies for public health EBIs and facilitating and hindering factors of sustainment. Methods: We searched PsychINFO, Embase, ProQuest, PubMed, and Google Scholar. The initial search was run in March 2017 and an update was done in March 2019. Study eligibility criteria included (a) public health evidence-based interventions, (b) conducted in the community or community-based settings, and (c) reported outcomes related to EBI sustainment. Details characterizing the study setting, design, target population, and type of EBI sustained were extracted. Results: A total of 26 articles published from 2004 to 2019 were eligible for data extraction. Overall, the importance of sustainability was acknowledged across all of the studies. However, only seven studies presented a conceptual definition of sustainment explicitly within the text. Six of the included studies reported specific sustainment strategies that were used to facilitate the sustainment of EBI. Only three of the studies reported their activities related to sustainment by referencing a sustainment framework. Multiple facilitators (i.e., adaptation/alignment, funding) and barriers (i.e., limited funding, limited resources) were identified as influencing EBI sustainment. The majority (n = 20) of the studies were conducted in high-income countries. Studies from low-income countries were mostly naturalistic. All of the studies from low-income countries reported lack of funding as a hindrance to sustainment. Implication for dissemination and implementation research: Literature focused on sustainment of public health EBIs should present an explicit definition of the concept. Better reporting of the framework utilized, steps followed, and adaptations made to sustain the intervention might contribute to standardizing and developing the concept. Moreover, encouraging longitudinal dissemination and implementation (D&amp;I) research especially in low-income countries might help strengthen D&amp;I research capacity in public health settings.","author":[{"dropping-particle":"","family":"Hailemariam","given":"Maji","non-dropping-particle":"","parse-names":false,"suffix":""},{"dropping-particle":"","family":"Bustos","given":"Tatiana","non-dropping-particle":"","parse-names":false,"suffix":""},{"dropping-particle":"","family":"Montgomery","given":"Barrett","non-dropping-particle":"","parse-names":false,"suffix":""},{"dropping-particle":"","family":"Barajas","given":"Rolando","non-dropping-particle":"","parse-names":false,"suffix":""},{"dropping-particle":"","family":"Evans","given":"Luther B.","non-dropping-particle":"","parse-names":false,"suffix":""},{"dropping-particle":"","family":"Drahota","given":"Amy","non-dropping-particle":"","parse-names":false,"suffix":""}],"container-title":"Implementation Science","id":"ITEM-1","issue":"1","issued":{"date-parts":[["2019"]]},"page":"1-12","publisher":"Implementation Science","title":"Evidence-based intervention sustainability strategies: A systematic review","type":"article-journal","volume":"14"},"uris":["http://www.mendeley.com/documents/?uuid=3919d865-2c8c-4ac1-b72b-d8f43a136911"]}],"mendeley":{"formattedCitation":"&lt;sup&gt;41&lt;/sup&gt;","plainTextFormattedCitation":"41","previouslyFormattedCitation":"&lt;sup&gt;41&lt;/sup&gt;"},"properties":{"noteIndex":0},"schema":"https://github.com/citation-style-language/schema/raw/master/csl-citation.json"}</w:instrText>
      </w:r>
      <w:r>
        <w:rPr>
          <w:b/>
          <w:bCs/>
          <w:sz w:val="24"/>
          <w:szCs w:val="24"/>
        </w:rPr>
        <w:fldChar w:fldCharType="separate"/>
      </w:r>
      <w:r w:rsidRPr="005E797F">
        <w:rPr>
          <w:bCs/>
          <w:noProof/>
          <w:sz w:val="24"/>
          <w:szCs w:val="24"/>
          <w:vertAlign w:val="superscript"/>
        </w:rPr>
        <w:t>41</w:t>
      </w:r>
      <w:r>
        <w:rPr>
          <w:b/>
          <w:bCs/>
          <w:sz w:val="24"/>
          <w:szCs w:val="24"/>
        </w:rPr>
        <w:fldChar w:fldCharType="end"/>
      </w:r>
      <w:r w:rsidR="002F13D3" w:rsidRPr="00702B2C">
        <w:rPr>
          <w:b/>
          <w:bCs/>
          <w:sz w:val="24"/>
          <w:szCs w:val="24"/>
        </w:rPr>
        <w:tab/>
      </w:r>
    </w:p>
    <w:p w14:paraId="4BD8337C" w14:textId="77777777" w:rsidR="00562FC5" w:rsidRDefault="002F13D3" w:rsidP="00562FC5">
      <w:pPr>
        <w:pStyle w:val="ListParagraph"/>
        <w:numPr>
          <w:ilvl w:val="1"/>
          <w:numId w:val="7"/>
        </w:numPr>
        <w:rPr>
          <w:b/>
          <w:bCs/>
          <w:sz w:val="24"/>
          <w:szCs w:val="24"/>
        </w:rPr>
      </w:pPr>
      <w:r w:rsidRPr="00562FC5">
        <w:rPr>
          <w:sz w:val="24"/>
          <w:szCs w:val="24"/>
        </w:rPr>
        <w:t>Develop an implementation plan</w:t>
      </w:r>
      <w:r w:rsidR="00D4692F" w:rsidRPr="00562FC5">
        <w:rPr>
          <w:sz w:val="24"/>
          <w:szCs w:val="24"/>
        </w:rPr>
        <w:t xml:space="preserve"> (</w:t>
      </w:r>
      <w:r w:rsidR="00702B2C" w:rsidRPr="00562FC5">
        <w:rPr>
          <w:sz w:val="24"/>
          <w:szCs w:val="24"/>
        </w:rPr>
        <w:t>e.g.,</w:t>
      </w:r>
      <w:r w:rsidR="00D4692F" w:rsidRPr="00562FC5">
        <w:rPr>
          <w:sz w:val="24"/>
          <w:szCs w:val="24"/>
        </w:rPr>
        <w:t xml:space="preserve"> champions</w:t>
      </w:r>
      <w:r w:rsidRPr="00562FC5">
        <w:rPr>
          <w:sz w:val="24"/>
          <w:szCs w:val="24"/>
        </w:rPr>
        <w:t>,</w:t>
      </w:r>
      <w:r w:rsidR="00D679DD" w:rsidRPr="00562FC5">
        <w:rPr>
          <w:sz w:val="24"/>
          <w:szCs w:val="24"/>
        </w:rPr>
        <w:t xml:space="preserve"> implementation personnel, </w:t>
      </w:r>
      <w:proofErr w:type="gramStart"/>
      <w:r w:rsidR="00D679DD" w:rsidRPr="00562FC5">
        <w:rPr>
          <w:sz w:val="24"/>
          <w:szCs w:val="24"/>
        </w:rPr>
        <w:t xml:space="preserve">process, </w:t>
      </w:r>
      <w:r w:rsidR="00D4692F" w:rsidRPr="00562FC5">
        <w:rPr>
          <w:sz w:val="24"/>
          <w:szCs w:val="24"/>
        </w:rPr>
        <w:t xml:space="preserve"> timing</w:t>
      </w:r>
      <w:proofErr w:type="gramEnd"/>
      <w:r w:rsidR="00702B2C" w:rsidRPr="00562FC5">
        <w:rPr>
          <w:sz w:val="24"/>
          <w:szCs w:val="24"/>
        </w:rPr>
        <w:t>), resources</w:t>
      </w:r>
      <w:r w:rsidR="00D4692F" w:rsidRPr="00562FC5">
        <w:rPr>
          <w:sz w:val="24"/>
          <w:szCs w:val="24"/>
        </w:rPr>
        <w:t xml:space="preserve"> (training materials, funding, facilities),</w:t>
      </w:r>
      <w:r w:rsidRPr="00562FC5">
        <w:rPr>
          <w:sz w:val="24"/>
          <w:szCs w:val="24"/>
        </w:rPr>
        <w:t xml:space="preserve"> strategies</w:t>
      </w:r>
      <w:r w:rsidR="00D4692F" w:rsidRPr="00562FC5">
        <w:rPr>
          <w:sz w:val="24"/>
          <w:szCs w:val="24"/>
        </w:rPr>
        <w:t xml:space="preserve"> (training, incentives, procedures) and monitoring (</w:t>
      </w:r>
      <w:r w:rsidR="00702B2C" w:rsidRPr="00562FC5">
        <w:rPr>
          <w:sz w:val="24"/>
          <w:szCs w:val="24"/>
        </w:rPr>
        <w:t>uptake and</w:t>
      </w:r>
      <w:r w:rsidR="00D4692F" w:rsidRPr="00562FC5">
        <w:rPr>
          <w:sz w:val="24"/>
          <w:szCs w:val="24"/>
        </w:rPr>
        <w:t xml:space="preserve"> use indicators)</w:t>
      </w:r>
      <w:r w:rsidRPr="00562FC5">
        <w:rPr>
          <w:sz w:val="24"/>
          <w:szCs w:val="24"/>
        </w:rPr>
        <w:t>.</w:t>
      </w:r>
      <w:r w:rsidR="00562FC5" w:rsidRPr="00562FC5">
        <w:rPr>
          <w:sz w:val="24"/>
          <w:szCs w:val="24"/>
        </w:rPr>
        <w:t xml:space="preserve"> </w:t>
      </w:r>
    </w:p>
    <w:p w14:paraId="3488CE91" w14:textId="77777777" w:rsidR="00562FC5" w:rsidRPr="00562FC5" w:rsidRDefault="002F13D3" w:rsidP="00562FC5">
      <w:pPr>
        <w:pStyle w:val="ListParagraph"/>
        <w:numPr>
          <w:ilvl w:val="1"/>
          <w:numId w:val="7"/>
        </w:numPr>
        <w:ind w:left="792"/>
        <w:rPr>
          <w:b/>
          <w:bCs/>
          <w:sz w:val="24"/>
          <w:szCs w:val="24"/>
        </w:rPr>
      </w:pPr>
      <w:r w:rsidRPr="00562FC5">
        <w:rPr>
          <w:sz w:val="24"/>
          <w:szCs w:val="24"/>
        </w:rPr>
        <w:t>Evaluate</w:t>
      </w:r>
      <w:r w:rsidR="00D4692F" w:rsidRPr="00562FC5">
        <w:rPr>
          <w:sz w:val="24"/>
          <w:szCs w:val="24"/>
        </w:rPr>
        <w:t xml:space="preserve"> implementation </w:t>
      </w:r>
      <w:r w:rsidRPr="00562FC5">
        <w:rPr>
          <w:sz w:val="24"/>
          <w:szCs w:val="24"/>
        </w:rPr>
        <w:t>and adapt, including feedback into iterative improvement/optimization.</w:t>
      </w:r>
    </w:p>
    <w:p w14:paraId="6BF91218" w14:textId="78C1019B" w:rsidR="00562FC5" w:rsidRDefault="00D4692F" w:rsidP="00562FC5">
      <w:pPr>
        <w:pStyle w:val="ListParagraph"/>
        <w:numPr>
          <w:ilvl w:val="1"/>
          <w:numId w:val="7"/>
        </w:numPr>
        <w:rPr>
          <w:sz w:val="24"/>
          <w:szCs w:val="24"/>
        </w:rPr>
      </w:pPr>
      <w:r w:rsidRPr="00562FC5">
        <w:rPr>
          <w:sz w:val="24"/>
          <w:szCs w:val="24"/>
        </w:rPr>
        <w:t>Evaluate</w:t>
      </w:r>
      <w:r w:rsidR="002F13D3" w:rsidRPr="00562FC5">
        <w:rPr>
          <w:sz w:val="24"/>
          <w:szCs w:val="24"/>
        </w:rPr>
        <w:t xml:space="preserve"> im</w:t>
      </w:r>
      <w:r w:rsidR="00562FC5">
        <w:rPr>
          <w:sz w:val="24"/>
          <w:szCs w:val="24"/>
        </w:rPr>
        <w:t>p</w:t>
      </w:r>
      <w:r w:rsidR="002F13D3" w:rsidRPr="00562FC5">
        <w:rPr>
          <w:sz w:val="24"/>
          <w:szCs w:val="24"/>
        </w:rPr>
        <w:t>act.</w:t>
      </w:r>
      <w:r w:rsidR="00562FC5" w:rsidRPr="00562FC5">
        <w:rPr>
          <w:sz w:val="24"/>
          <w:szCs w:val="24"/>
        </w:rPr>
        <w:t xml:space="preserve"> </w:t>
      </w:r>
    </w:p>
    <w:p w14:paraId="3E5CE801" w14:textId="206D7F26" w:rsidR="00562FC5" w:rsidRDefault="00562FC5" w:rsidP="00562FC5">
      <w:pPr>
        <w:pStyle w:val="ListParagraph"/>
        <w:numPr>
          <w:ilvl w:val="1"/>
          <w:numId w:val="7"/>
        </w:numPr>
        <w:rPr>
          <w:sz w:val="24"/>
          <w:szCs w:val="24"/>
        </w:rPr>
      </w:pPr>
      <w:r w:rsidRPr="00562FC5">
        <w:rPr>
          <w:sz w:val="24"/>
          <w:szCs w:val="24"/>
        </w:rPr>
        <w:t xml:space="preserve">Develop and implement sustainability plan. </w:t>
      </w:r>
    </w:p>
    <w:p w14:paraId="50C35BB6" w14:textId="0A1984AE" w:rsidR="00562FC5" w:rsidRDefault="00562FC5" w:rsidP="00562FC5">
      <w:pPr>
        <w:pStyle w:val="ListParagraph"/>
        <w:numPr>
          <w:ilvl w:val="2"/>
          <w:numId w:val="7"/>
        </w:numPr>
        <w:rPr>
          <w:sz w:val="24"/>
          <w:szCs w:val="24"/>
        </w:rPr>
      </w:pPr>
      <w:r w:rsidRPr="00562FC5">
        <w:rPr>
          <w:sz w:val="24"/>
          <w:szCs w:val="24"/>
        </w:rPr>
        <w:t>Resources Needs and Plan</w:t>
      </w:r>
    </w:p>
    <w:p w14:paraId="4EAB15A0" w14:textId="2BF187C7" w:rsidR="00562FC5" w:rsidRDefault="00562FC5" w:rsidP="00562FC5">
      <w:pPr>
        <w:pStyle w:val="ListParagraph"/>
        <w:numPr>
          <w:ilvl w:val="2"/>
          <w:numId w:val="7"/>
        </w:numPr>
        <w:rPr>
          <w:sz w:val="24"/>
          <w:szCs w:val="24"/>
        </w:rPr>
      </w:pPr>
      <w:r w:rsidRPr="00562FC5">
        <w:rPr>
          <w:sz w:val="24"/>
          <w:szCs w:val="24"/>
        </w:rPr>
        <w:t>Personnel Needs and Plan</w:t>
      </w:r>
    </w:p>
    <w:p w14:paraId="29FDA493" w14:textId="5E8C72E1" w:rsidR="00562FC5" w:rsidRDefault="00562FC5" w:rsidP="00562FC5">
      <w:pPr>
        <w:pStyle w:val="ListParagraph"/>
        <w:numPr>
          <w:ilvl w:val="2"/>
          <w:numId w:val="7"/>
        </w:numPr>
        <w:rPr>
          <w:sz w:val="24"/>
          <w:szCs w:val="24"/>
        </w:rPr>
      </w:pPr>
      <w:r w:rsidRPr="00562FC5">
        <w:rPr>
          <w:sz w:val="24"/>
          <w:szCs w:val="24"/>
        </w:rPr>
        <w:t>Authorities</w:t>
      </w:r>
      <w:r>
        <w:rPr>
          <w:sz w:val="24"/>
          <w:szCs w:val="24"/>
        </w:rPr>
        <w:t>, Roles, Processes</w:t>
      </w:r>
      <w:r w:rsidRPr="00562FC5">
        <w:rPr>
          <w:sz w:val="24"/>
          <w:szCs w:val="24"/>
        </w:rPr>
        <w:t xml:space="preserve"> and Management Plan</w:t>
      </w:r>
    </w:p>
    <w:p w14:paraId="52688EBF" w14:textId="77777777" w:rsidR="00562FC5" w:rsidRDefault="00562FC5" w:rsidP="00562FC5">
      <w:pPr>
        <w:pStyle w:val="ListParagraph"/>
        <w:numPr>
          <w:ilvl w:val="1"/>
          <w:numId w:val="7"/>
        </w:numPr>
        <w:ind w:left="1440"/>
        <w:rPr>
          <w:sz w:val="24"/>
          <w:szCs w:val="24"/>
        </w:rPr>
      </w:pPr>
      <w:r w:rsidRPr="00562FC5">
        <w:rPr>
          <w:sz w:val="24"/>
          <w:szCs w:val="24"/>
        </w:rPr>
        <w:t>Monitoring and Reporting Plan</w:t>
      </w:r>
    </w:p>
    <w:p w14:paraId="1214EAEA" w14:textId="77777777" w:rsidR="00562FC5" w:rsidRDefault="00562FC5" w:rsidP="00562FC5">
      <w:pPr>
        <w:pStyle w:val="ListParagraph"/>
        <w:ind w:left="1440"/>
        <w:rPr>
          <w:sz w:val="24"/>
          <w:szCs w:val="24"/>
        </w:rPr>
      </w:pPr>
    </w:p>
    <w:p w14:paraId="6105B749" w14:textId="77777777" w:rsidR="00562FC5" w:rsidRDefault="00562FC5" w:rsidP="00562FC5">
      <w:pPr>
        <w:pStyle w:val="ListParagraph"/>
        <w:ind w:left="1440"/>
        <w:rPr>
          <w:sz w:val="24"/>
          <w:szCs w:val="24"/>
        </w:rPr>
      </w:pPr>
    </w:p>
    <w:p w14:paraId="6DB0D9C9" w14:textId="77777777" w:rsidR="00562FC5" w:rsidRDefault="00562FC5" w:rsidP="00562FC5">
      <w:pPr>
        <w:pStyle w:val="ListParagraph"/>
        <w:ind w:left="1440"/>
        <w:rPr>
          <w:sz w:val="24"/>
          <w:szCs w:val="24"/>
        </w:rPr>
      </w:pPr>
    </w:p>
    <w:p w14:paraId="72D1556C" w14:textId="77777777" w:rsidR="00562FC5" w:rsidRDefault="00562FC5" w:rsidP="00562FC5">
      <w:pPr>
        <w:pStyle w:val="ListParagraph"/>
        <w:ind w:left="1440"/>
        <w:rPr>
          <w:sz w:val="24"/>
          <w:szCs w:val="24"/>
        </w:rPr>
      </w:pPr>
    </w:p>
    <w:p w14:paraId="4E31F886" w14:textId="77777777" w:rsidR="00562FC5" w:rsidRDefault="00562FC5" w:rsidP="00562FC5">
      <w:pPr>
        <w:pStyle w:val="ListParagraph"/>
        <w:ind w:left="1440"/>
        <w:rPr>
          <w:sz w:val="24"/>
          <w:szCs w:val="24"/>
        </w:rPr>
      </w:pPr>
    </w:p>
    <w:p w14:paraId="7DD841E0" w14:textId="4784D6D1" w:rsidR="00ED166F" w:rsidRPr="00562FC5" w:rsidRDefault="00524794" w:rsidP="00562FC5">
      <w:pPr>
        <w:pStyle w:val="ListParagraph"/>
        <w:ind w:left="0"/>
        <w:rPr>
          <w:b/>
          <w:bCs/>
          <w:sz w:val="24"/>
          <w:szCs w:val="24"/>
          <w:u w:val="single"/>
        </w:rPr>
      </w:pPr>
      <w:r w:rsidRPr="00562FC5">
        <w:rPr>
          <w:b/>
          <w:bCs/>
          <w:sz w:val="24"/>
          <w:szCs w:val="24"/>
          <w:u w:val="single"/>
        </w:rPr>
        <w:t xml:space="preserve">Quality </w:t>
      </w:r>
      <w:r w:rsidR="00524EF6" w:rsidRPr="00562FC5">
        <w:rPr>
          <w:b/>
          <w:bCs/>
          <w:sz w:val="24"/>
          <w:szCs w:val="24"/>
          <w:u w:val="single"/>
        </w:rPr>
        <w:t xml:space="preserve">standards </w:t>
      </w:r>
    </w:p>
    <w:p w14:paraId="16A00117" w14:textId="691250D9" w:rsidR="00387274" w:rsidRPr="008464D0" w:rsidRDefault="00387274" w:rsidP="00ED166F">
      <w:pPr>
        <w:rPr>
          <w:sz w:val="24"/>
          <w:szCs w:val="24"/>
        </w:rPr>
      </w:pPr>
      <w:r>
        <w:rPr>
          <w:sz w:val="24"/>
          <w:szCs w:val="24"/>
        </w:rPr>
        <w:t>The ultimate goal is better quality of health care interventions considering the Quintuple Aims</w:t>
      </w:r>
      <w:r w:rsidR="005E797F">
        <w:rPr>
          <w:sz w:val="24"/>
          <w:szCs w:val="24"/>
        </w:rPr>
        <w:fldChar w:fldCharType="begin" w:fldLock="1"/>
      </w:r>
      <w:r w:rsidR="005E797F">
        <w:rPr>
          <w:sz w:val="24"/>
          <w:szCs w:val="24"/>
        </w:rPr>
        <w:instrText>ADDIN CSL_CITATION {"citationItems":[{"id":"ITEM-1","itemData":{"DOI":"10.1016/j.jacc.2021.10.018","author":[{"dropping-particle":"","family":"Itchhaporia","given":"Dipti","non-dropping-particle":"","parse-names":false,"suffix":""}],"container-title":"Journal of the American College of Cardiology","id":"ITEM-1","issue":"22","issued":{"date-parts":[["2021"]]},"page":"2262-2264","title":"The Evolution of the Quintuple Aim","type":"article-journal","volume":"78"},"uris":["http://www.mendeley.com/documents/?uuid=c60e5578-3bcb-4951-92a7-53b8e365fab8"]},{"id":"ITEM-2","itemData":{"DOI":"10.1001/jama.2021.25181","ISSN":"0098-7484","abstract":"The COVID-19 pandemic has brought long-overdue and much-needed attention to the lack of health equity in the US and around the world. Nearly everywhere, socially marginalized populations, including racial and ethnic minoritized groups, older adults, and individuals living in poverty, experienced higher rates of COVID-19 and morbidity and mortality from infection, as well as greater disruptions to their preventive and chronic care. Although the reasons are myriad, the fact remains that these differences, which persisted long before the pandemic, are unacceptable and avoidable. The challenge now is translating this heightened social consciousness into action, particularly in communities, clinics, and health systems.","author":[{"dropping-particle":"","family":"Nundy","given":"Shantanu","non-dropping-particle":"","parse-names":false,"suffix":""},{"dropping-particle":"","family":"Cooper","given":"Lisa A","non-dropping-particle":"","parse-names":false,"suffix":""},{"dropping-particle":"","family":"Mate","given":"Kedar S","non-dropping-particle":"","parse-names":false,"suffix":""}],"container-title":"JAMA","id":"ITEM-2","issue":"6","issued":{"date-parts":[["2022","2","8"]]},"page":"521-522","title":"The Quintuple Aim for Health Care Improvement: A New Imperative to Advance Health Equity","type":"article-journal","volume":"327"},"uris":["http://www.mendeley.com/documents/?uuid=799fa408-14ab-4fec-b615-876e1148ea23"]}],"mendeley":{"formattedCitation":"&lt;sup&gt;42,43&lt;/sup&gt;","plainTextFormattedCitation":"42,43"},"properties":{"noteIndex":0},"schema":"https://github.com/citation-style-language/schema/raw/master/csl-citation.json"}</w:instrText>
      </w:r>
      <w:r w:rsidR="005E797F">
        <w:rPr>
          <w:sz w:val="24"/>
          <w:szCs w:val="24"/>
        </w:rPr>
        <w:fldChar w:fldCharType="separate"/>
      </w:r>
      <w:r w:rsidR="005E797F" w:rsidRPr="005E797F">
        <w:rPr>
          <w:noProof/>
          <w:sz w:val="24"/>
          <w:szCs w:val="24"/>
          <w:vertAlign w:val="superscript"/>
        </w:rPr>
        <w:t>42,43</w:t>
      </w:r>
      <w:r w:rsidR="005E797F">
        <w:rPr>
          <w:sz w:val="24"/>
          <w:szCs w:val="24"/>
        </w:rPr>
        <w:fldChar w:fldCharType="end"/>
      </w:r>
      <w:r>
        <w:rPr>
          <w:sz w:val="24"/>
          <w:szCs w:val="24"/>
        </w:rPr>
        <w:t xml:space="preserve"> of  patient experience and outcomes, provider work role experience, cost efficiency and equity. In interim evaluation </w:t>
      </w:r>
      <w:proofErr w:type="gramStart"/>
      <w:r>
        <w:rPr>
          <w:sz w:val="24"/>
          <w:szCs w:val="24"/>
        </w:rPr>
        <w:t>of  an</w:t>
      </w:r>
      <w:proofErr w:type="gramEnd"/>
      <w:r>
        <w:rPr>
          <w:sz w:val="24"/>
          <w:szCs w:val="24"/>
        </w:rPr>
        <w:t xml:space="preserve"> innovation during development  we assess the quality of the content (evidence-based)  and  the 3U’s of </w:t>
      </w:r>
      <w:proofErr w:type="spellStart"/>
      <w:r>
        <w:rPr>
          <w:sz w:val="24"/>
          <w:szCs w:val="24"/>
        </w:rPr>
        <w:t>Usebability</w:t>
      </w:r>
      <w:proofErr w:type="spellEnd"/>
      <w:r>
        <w:rPr>
          <w:sz w:val="24"/>
          <w:szCs w:val="24"/>
        </w:rPr>
        <w:t xml:space="preserve"> (Useful, Useable, Unbiased).</w:t>
      </w:r>
    </w:p>
    <w:p w14:paraId="6C643A57" w14:textId="0E8E50D1" w:rsidR="00ED166F" w:rsidRPr="00881FCB" w:rsidRDefault="005C6D55" w:rsidP="00ED166F">
      <w:pPr>
        <w:pStyle w:val="ListParagraph"/>
        <w:numPr>
          <w:ilvl w:val="0"/>
          <w:numId w:val="5"/>
        </w:numPr>
        <w:rPr>
          <w:rFonts w:eastAsia="Times New Roman" w:cstheme="minorHAnsi"/>
          <w:b/>
          <w:sz w:val="24"/>
          <w:szCs w:val="24"/>
          <w:lang w:eastAsia="en-CA"/>
        </w:rPr>
      </w:pPr>
      <w:r w:rsidRPr="008464D0">
        <w:rPr>
          <w:noProof/>
          <w:sz w:val="24"/>
          <w:szCs w:val="24"/>
        </w:rPr>
        <w:drawing>
          <wp:anchor distT="0" distB="0" distL="114300" distR="114300" simplePos="0" relativeHeight="251658240" behindDoc="0" locked="0" layoutInCell="1" allowOverlap="1" wp14:anchorId="74CC26FB" wp14:editId="25DC1108">
            <wp:simplePos x="0" y="0"/>
            <wp:positionH relativeFrom="margin">
              <wp:posOffset>-393065</wp:posOffset>
            </wp:positionH>
            <wp:positionV relativeFrom="margin">
              <wp:posOffset>-30058360</wp:posOffset>
            </wp:positionV>
            <wp:extent cx="2707005" cy="6767830"/>
            <wp:effectExtent l="0" t="0" r="0" b="0"/>
            <wp:wrapSquare wrapText="bothSides"/>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005" cy="6767830"/>
                    </a:xfrm>
                    <a:prstGeom prst="rect">
                      <a:avLst/>
                    </a:prstGeom>
                    <a:noFill/>
                    <a:ln>
                      <a:noFill/>
                    </a:ln>
                  </pic:spPr>
                </pic:pic>
              </a:graphicData>
            </a:graphic>
          </wp:anchor>
        </w:drawing>
      </w:r>
      <w:r w:rsidR="00ED166F" w:rsidRPr="00881FCB">
        <w:rPr>
          <w:rFonts w:eastAsia="Times New Roman" w:cstheme="minorHAnsi"/>
          <w:b/>
          <w:sz w:val="24"/>
          <w:szCs w:val="24"/>
          <w:lang w:eastAsia="en-CA"/>
        </w:rPr>
        <w:t>Quality of Content</w:t>
      </w:r>
    </w:p>
    <w:p w14:paraId="5C1F0122" w14:textId="1ECF19D4" w:rsidR="00ED166F" w:rsidRPr="008464D0" w:rsidRDefault="00702B2C" w:rsidP="00ED166F">
      <w:pPr>
        <w:pStyle w:val="ListParagraph"/>
        <w:numPr>
          <w:ilvl w:val="1"/>
          <w:numId w:val="5"/>
        </w:numPr>
        <w:rPr>
          <w:rFonts w:eastAsia="Times New Roman" w:cstheme="minorHAnsi"/>
          <w:bCs/>
          <w:sz w:val="24"/>
          <w:szCs w:val="24"/>
          <w:lang w:eastAsia="en-CA"/>
        </w:rPr>
      </w:pPr>
      <w:r w:rsidRPr="00881FCB">
        <w:rPr>
          <w:rFonts w:eastAsia="Times New Roman" w:cstheme="minorHAnsi"/>
          <w:b/>
          <w:sz w:val="24"/>
          <w:szCs w:val="24"/>
          <w:lang w:eastAsia="en-CA"/>
        </w:rPr>
        <w:t>Theoretical</w:t>
      </w:r>
      <w:r w:rsidRPr="008464D0">
        <w:rPr>
          <w:rFonts w:eastAsia="Times New Roman" w:cstheme="minorHAnsi"/>
          <w:bCs/>
          <w:sz w:val="24"/>
          <w:szCs w:val="24"/>
          <w:lang w:eastAsia="en-CA"/>
        </w:rPr>
        <w:t xml:space="preserve"> and</w:t>
      </w:r>
      <w:r w:rsidR="00ED166F" w:rsidRPr="008464D0">
        <w:rPr>
          <w:rFonts w:eastAsia="Times New Roman" w:cstheme="minorHAnsi"/>
          <w:bCs/>
          <w:sz w:val="24"/>
          <w:szCs w:val="24"/>
          <w:lang w:eastAsia="en-CA"/>
        </w:rPr>
        <w:t xml:space="preserve"> basic science mechanisms are clear and </w:t>
      </w:r>
      <w:r w:rsidRPr="008464D0">
        <w:rPr>
          <w:rFonts w:eastAsia="Times New Roman" w:cstheme="minorHAnsi"/>
          <w:bCs/>
          <w:sz w:val="24"/>
          <w:szCs w:val="24"/>
          <w:lang w:eastAsia="en-CA"/>
        </w:rPr>
        <w:t>articulated.</w:t>
      </w:r>
    </w:p>
    <w:p w14:paraId="2C7B53FD" w14:textId="04459452" w:rsidR="00ED166F" w:rsidRPr="008464D0" w:rsidRDefault="00ED166F" w:rsidP="00ED166F">
      <w:pPr>
        <w:pStyle w:val="ListParagraph"/>
        <w:numPr>
          <w:ilvl w:val="1"/>
          <w:numId w:val="5"/>
        </w:numPr>
        <w:rPr>
          <w:rFonts w:eastAsia="Times New Roman" w:cstheme="minorHAnsi"/>
          <w:bCs/>
          <w:sz w:val="24"/>
          <w:szCs w:val="24"/>
          <w:lang w:eastAsia="en-CA"/>
        </w:rPr>
      </w:pPr>
      <w:r w:rsidRPr="008464D0">
        <w:rPr>
          <w:rFonts w:eastAsia="Times New Roman" w:cstheme="minorHAnsi"/>
          <w:bCs/>
          <w:sz w:val="24"/>
          <w:szCs w:val="24"/>
          <w:lang w:eastAsia="en-CA"/>
        </w:rPr>
        <w:t xml:space="preserve">Best clinical evidence </w:t>
      </w:r>
      <w:r w:rsidR="00702B2C" w:rsidRPr="008464D0">
        <w:rPr>
          <w:rFonts w:eastAsia="Times New Roman" w:cstheme="minorHAnsi"/>
          <w:bCs/>
          <w:sz w:val="24"/>
          <w:szCs w:val="24"/>
          <w:lang w:eastAsia="en-CA"/>
        </w:rPr>
        <w:t>integrated.</w:t>
      </w:r>
    </w:p>
    <w:p w14:paraId="1251D433" w14:textId="556E1B2C" w:rsidR="00ED166F" w:rsidRPr="008464D0" w:rsidRDefault="00524EF6" w:rsidP="00ED166F">
      <w:pPr>
        <w:pStyle w:val="ListParagraph"/>
        <w:numPr>
          <w:ilvl w:val="1"/>
          <w:numId w:val="5"/>
        </w:numPr>
        <w:rPr>
          <w:rFonts w:eastAsia="Times New Roman" w:cstheme="minorHAnsi"/>
          <w:bCs/>
          <w:sz w:val="24"/>
          <w:szCs w:val="24"/>
          <w:lang w:eastAsia="en-CA"/>
        </w:rPr>
      </w:pPr>
      <w:r w:rsidRPr="008464D0">
        <w:rPr>
          <w:rFonts w:eastAsia="Times New Roman" w:cstheme="minorHAnsi"/>
          <w:bCs/>
          <w:sz w:val="24"/>
          <w:szCs w:val="24"/>
          <w:lang w:eastAsia="en-CA"/>
        </w:rPr>
        <w:t xml:space="preserve">Clear user </w:t>
      </w:r>
      <w:r w:rsidR="00702B2C" w:rsidRPr="008464D0">
        <w:rPr>
          <w:rFonts w:eastAsia="Times New Roman" w:cstheme="minorHAnsi"/>
          <w:bCs/>
          <w:sz w:val="24"/>
          <w:szCs w:val="24"/>
          <w:lang w:eastAsia="en-CA"/>
        </w:rPr>
        <w:t>engagement:</w:t>
      </w:r>
      <w:r w:rsidRPr="008464D0">
        <w:rPr>
          <w:rFonts w:eastAsia="Times New Roman" w:cstheme="minorHAnsi"/>
          <w:bCs/>
          <w:sz w:val="24"/>
          <w:szCs w:val="24"/>
          <w:lang w:eastAsia="en-CA"/>
        </w:rPr>
        <w:t xml:space="preserve"> m</w:t>
      </w:r>
      <w:r w:rsidR="00ED166F" w:rsidRPr="008464D0">
        <w:rPr>
          <w:rFonts w:eastAsia="Times New Roman" w:cstheme="minorHAnsi"/>
          <w:bCs/>
          <w:sz w:val="24"/>
          <w:szCs w:val="24"/>
          <w:lang w:eastAsia="en-CA"/>
        </w:rPr>
        <w:t xml:space="preserve">apped to end-user </w:t>
      </w:r>
      <w:r w:rsidR="00702B2C" w:rsidRPr="008464D0">
        <w:rPr>
          <w:rFonts w:eastAsia="Times New Roman" w:cstheme="minorHAnsi"/>
          <w:bCs/>
          <w:sz w:val="24"/>
          <w:szCs w:val="24"/>
          <w:lang w:eastAsia="en-CA"/>
        </w:rPr>
        <w:t>needs.</w:t>
      </w:r>
      <w:r w:rsidRPr="008464D0">
        <w:rPr>
          <w:rFonts w:eastAsia="Times New Roman" w:cstheme="minorHAnsi"/>
          <w:bCs/>
          <w:sz w:val="24"/>
          <w:szCs w:val="24"/>
          <w:lang w:eastAsia="en-CA"/>
        </w:rPr>
        <w:t xml:space="preserve"> </w:t>
      </w:r>
    </w:p>
    <w:p w14:paraId="68466059" w14:textId="77777777" w:rsidR="00ED166F" w:rsidRPr="008464D0" w:rsidRDefault="00ED166F" w:rsidP="00ED166F">
      <w:pPr>
        <w:pStyle w:val="ListParagraph"/>
        <w:ind w:left="1440"/>
        <w:rPr>
          <w:rFonts w:eastAsia="Times New Roman" w:cstheme="minorHAnsi"/>
          <w:bCs/>
          <w:sz w:val="24"/>
          <w:szCs w:val="24"/>
          <w:lang w:eastAsia="en-CA"/>
        </w:rPr>
      </w:pPr>
    </w:p>
    <w:p w14:paraId="6EEB1C88" w14:textId="277088F2" w:rsidR="00ED166F" w:rsidRPr="00881FCB" w:rsidRDefault="00ED166F" w:rsidP="00ED166F">
      <w:pPr>
        <w:pStyle w:val="ListParagraph"/>
        <w:numPr>
          <w:ilvl w:val="0"/>
          <w:numId w:val="5"/>
        </w:numPr>
        <w:rPr>
          <w:rFonts w:eastAsia="Times New Roman" w:cstheme="minorHAnsi"/>
          <w:b/>
          <w:sz w:val="24"/>
          <w:szCs w:val="24"/>
          <w:lang w:eastAsia="en-CA"/>
        </w:rPr>
      </w:pPr>
      <w:r w:rsidRPr="00881FCB">
        <w:rPr>
          <w:rFonts w:cstheme="minorHAnsi"/>
          <w:b/>
          <w:sz w:val="24"/>
          <w:szCs w:val="24"/>
          <w:lang w:eastAsia="en-CA"/>
        </w:rPr>
        <w:t xml:space="preserve">The 3 </w:t>
      </w:r>
      <w:r w:rsidR="00702B2C" w:rsidRPr="00881FCB">
        <w:rPr>
          <w:rFonts w:cstheme="minorHAnsi"/>
          <w:b/>
          <w:sz w:val="24"/>
          <w:szCs w:val="24"/>
          <w:lang w:eastAsia="en-CA"/>
        </w:rPr>
        <w:t>Us</w:t>
      </w:r>
      <w:r w:rsidRPr="00881FCB">
        <w:rPr>
          <w:rFonts w:cstheme="minorHAnsi"/>
          <w:b/>
          <w:sz w:val="24"/>
          <w:szCs w:val="24"/>
          <w:lang w:eastAsia="en-CA"/>
        </w:rPr>
        <w:t xml:space="preserve"> of Useability </w:t>
      </w:r>
    </w:p>
    <w:p w14:paraId="4CB28451" w14:textId="77777777" w:rsidR="00ED166F" w:rsidRPr="00524794" w:rsidRDefault="00ED166F" w:rsidP="00ED166F">
      <w:pPr>
        <w:pStyle w:val="ListParagraph"/>
        <w:numPr>
          <w:ilvl w:val="1"/>
          <w:numId w:val="5"/>
        </w:numPr>
        <w:spacing w:after="0" w:line="240" w:lineRule="auto"/>
        <w:rPr>
          <w:b/>
          <w:bCs/>
          <w:sz w:val="24"/>
          <w:szCs w:val="24"/>
        </w:rPr>
      </w:pPr>
      <w:r w:rsidRPr="00524794">
        <w:rPr>
          <w:b/>
          <w:bCs/>
          <w:sz w:val="24"/>
          <w:szCs w:val="24"/>
        </w:rPr>
        <w:t>Useful</w:t>
      </w:r>
    </w:p>
    <w:p w14:paraId="778AFB74"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Content relevant to users</w:t>
      </w:r>
    </w:p>
    <w:p w14:paraId="29DD7DCA"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Customizable to individual variation/priorities</w:t>
      </w:r>
    </w:p>
    <w:p w14:paraId="312F708C"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Perceived benefit to users (potential for impact)</w:t>
      </w:r>
    </w:p>
    <w:p w14:paraId="03FD6D40" w14:textId="636B42D2"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Change in health </w:t>
      </w:r>
      <w:r w:rsidR="00702B2C" w:rsidRPr="008464D0">
        <w:rPr>
          <w:sz w:val="24"/>
          <w:szCs w:val="24"/>
        </w:rPr>
        <w:t>outcomes.</w:t>
      </w:r>
    </w:p>
    <w:p w14:paraId="2C54E12E" w14:textId="77777777" w:rsidR="00ED166F" w:rsidRPr="00881FCB" w:rsidRDefault="00ED166F" w:rsidP="00ED166F">
      <w:pPr>
        <w:pStyle w:val="ListParagraph"/>
        <w:numPr>
          <w:ilvl w:val="1"/>
          <w:numId w:val="5"/>
        </w:numPr>
        <w:spacing w:after="0" w:line="240" w:lineRule="auto"/>
        <w:rPr>
          <w:b/>
          <w:bCs/>
          <w:sz w:val="24"/>
          <w:szCs w:val="24"/>
        </w:rPr>
      </w:pPr>
      <w:r w:rsidRPr="00881FCB">
        <w:rPr>
          <w:b/>
          <w:bCs/>
          <w:sz w:val="24"/>
          <w:szCs w:val="24"/>
        </w:rPr>
        <w:t>Useable</w:t>
      </w:r>
    </w:p>
    <w:p w14:paraId="4F4F6CA3"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Accessible</w:t>
      </w:r>
    </w:p>
    <w:p w14:paraId="35079BA2"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Understandable (literacy and health literacy)</w:t>
      </w:r>
    </w:p>
    <w:p w14:paraId="7FEA5756" w14:textId="4C75F0DC"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Fidelity-implemented/performed efficiently and accurately by different </w:t>
      </w:r>
      <w:r w:rsidR="00702B2C" w:rsidRPr="008464D0">
        <w:rPr>
          <w:sz w:val="24"/>
          <w:szCs w:val="24"/>
        </w:rPr>
        <w:t>users.</w:t>
      </w:r>
    </w:p>
    <w:p w14:paraId="5C257501"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Used (adherence)</w:t>
      </w:r>
    </w:p>
    <w:p w14:paraId="24067D75" w14:textId="77777777" w:rsidR="00ED166F" w:rsidRPr="00881FCB" w:rsidRDefault="00ED166F" w:rsidP="00ED166F">
      <w:pPr>
        <w:pStyle w:val="ListParagraph"/>
        <w:numPr>
          <w:ilvl w:val="1"/>
          <w:numId w:val="5"/>
        </w:numPr>
        <w:spacing w:after="0" w:line="240" w:lineRule="auto"/>
        <w:rPr>
          <w:b/>
          <w:bCs/>
          <w:sz w:val="24"/>
          <w:szCs w:val="24"/>
        </w:rPr>
      </w:pPr>
      <w:r w:rsidRPr="00881FCB">
        <w:rPr>
          <w:b/>
          <w:bCs/>
          <w:sz w:val="24"/>
          <w:szCs w:val="24"/>
        </w:rPr>
        <w:t>Unbiased</w:t>
      </w:r>
    </w:p>
    <w:p w14:paraId="2807C008" w14:textId="77777777" w:rsidR="00ED166F" w:rsidRPr="008464D0" w:rsidRDefault="00ED166F" w:rsidP="00ED166F">
      <w:pPr>
        <w:pStyle w:val="ListParagraph"/>
        <w:numPr>
          <w:ilvl w:val="2"/>
          <w:numId w:val="5"/>
        </w:numPr>
        <w:spacing w:after="0" w:line="240" w:lineRule="auto"/>
        <w:rPr>
          <w:sz w:val="24"/>
          <w:szCs w:val="24"/>
        </w:rPr>
      </w:pPr>
      <w:r w:rsidRPr="008464D0">
        <w:rPr>
          <w:sz w:val="24"/>
          <w:szCs w:val="24"/>
        </w:rPr>
        <w:t xml:space="preserve"> Equity, Inclusion and Diversity (considers socioeconomic, regional, cultural, sex/gender, age, and other sources of diversity) in access, approach and content. </w:t>
      </w:r>
    </w:p>
    <w:p w14:paraId="4C5EB42B" w14:textId="77777777" w:rsidR="00ED166F" w:rsidRPr="008464D0" w:rsidRDefault="00ED166F" w:rsidP="00ED166F">
      <w:pPr>
        <w:ind w:left="720" w:hanging="360"/>
        <w:rPr>
          <w:sz w:val="24"/>
          <w:szCs w:val="24"/>
        </w:rPr>
      </w:pPr>
    </w:p>
    <w:p w14:paraId="6832B77A" w14:textId="77777777" w:rsidR="00ED166F" w:rsidRPr="008464D0" w:rsidRDefault="00ED166F" w:rsidP="00ED166F">
      <w:pPr>
        <w:rPr>
          <w:rFonts w:eastAsia="Times New Roman" w:cstheme="minorHAnsi"/>
          <w:bCs/>
          <w:sz w:val="24"/>
          <w:szCs w:val="24"/>
          <w:lang w:eastAsia="en-CA"/>
        </w:rPr>
      </w:pPr>
      <w:r w:rsidRPr="008464D0">
        <w:rPr>
          <w:rFonts w:eastAsia="Times New Roman" w:cstheme="minorHAnsi"/>
          <w:bCs/>
          <w:sz w:val="24"/>
          <w:szCs w:val="24"/>
          <w:lang w:eastAsia="en-CA"/>
        </w:rPr>
        <w:t>Examples of methods for different stages of development:</w:t>
      </w:r>
    </w:p>
    <w:p w14:paraId="7CB5A5B3" w14:textId="6C791C14"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 xml:space="preserve">Needs and content assessments: consultations, surveys, consensus techniques, qualitative research, patient- clinician expert </w:t>
      </w:r>
      <w:r w:rsidR="00702B2C" w:rsidRPr="008464D0">
        <w:rPr>
          <w:rFonts w:eastAsia="Times New Roman" w:cstheme="minorHAnsi"/>
          <w:bCs/>
          <w:sz w:val="24"/>
          <w:szCs w:val="24"/>
          <w:lang w:eastAsia="en-CA"/>
        </w:rPr>
        <w:t>co</w:t>
      </w:r>
      <w:r w:rsidR="00524794">
        <w:rPr>
          <w:rFonts w:eastAsia="Times New Roman" w:cstheme="minorHAnsi"/>
          <w:bCs/>
          <w:sz w:val="24"/>
          <w:szCs w:val="24"/>
          <w:lang w:eastAsia="en-CA"/>
        </w:rPr>
        <w:t>-</w:t>
      </w:r>
      <w:r w:rsidR="00702B2C" w:rsidRPr="008464D0">
        <w:rPr>
          <w:rFonts w:eastAsia="Times New Roman" w:cstheme="minorHAnsi"/>
          <w:bCs/>
          <w:sz w:val="24"/>
          <w:szCs w:val="24"/>
          <w:lang w:eastAsia="en-CA"/>
        </w:rPr>
        <w:t>design.</w:t>
      </w:r>
      <w:r w:rsidRPr="008464D0">
        <w:rPr>
          <w:rFonts w:eastAsia="Times New Roman" w:cstheme="minorHAnsi"/>
          <w:bCs/>
          <w:sz w:val="24"/>
          <w:szCs w:val="24"/>
          <w:lang w:eastAsia="en-CA"/>
        </w:rPr>
        <w:t xml:space="preserve"> </w:t>
      </w:r>
    </w:p>
    <w:p w14:paraId="5FA2B0D2" w14:textId="427B26F5"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Best practice</w:t>
      </w:r>
      <w:r w:rsidR="00524794">
        <w:rPr>
          <w:rFonts w:eastAsia="Times New Roman" w:cstheme="minorHAnsi"/>
          <w:bCs/>
          <w:sz w:val="24"/>
          <w:szCs w:val="24"/>
          <w:lang w:eastAsia="en-CA"/>
        </w:rPr>
        <w:t>s or evidence-informed content</w:t>
      </w:r>
      <w:r w:rsidRPr="008464D0">
        <w:rPr>
          <w:rFonts w:eastAsia="Times New Roman" w:cstheme="minorHAnsi"/>
          <w:bCs/>
          <w:sz w:val="24"/>
          <w:szCs w:val="24"/>
          <w:lang w:eastAsia="en-CA"/>
        </w:rPr>
        <w:t xml:space="preserve">: evidence synthesis, expert consensus </w:t>
      </w:r>
    </w:p>
    <w:p w14:paraId="7F665E99" w14:textId="56BDCC50" w:rsidR="00ED166F" w:rsidRPr="008464D0"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 xml:space="preserve">Useability: </w:t>
      </w:r>
      <w:r w:rsidR="00702B2C" w:rsidRPr="008464D0">
        <w:rPr>
          <w:rFonts w:eastAsia="Times New Roman" w:cstheme="minorHAnsi"/>
          <w:bCs/>
          <w:sz w:val="24"/>
          <w:szCs w:val="24"/>
          <w:lang w:eastAsia="en-CA"/>
        </w:rPr>
        <w:t>consultations, cognitive</w:t>
      </w:r>
      <w:r w:rsidRPr="008464D0">
        <w:rPr>
          <w:rFonts w:eastAsia="Times New Roman" w:cstheme="minorHAnsi"/>
          <w:bCs/>
          <w:sz w:val="24"/>
          <w:szCs w:val="24"/>
          <w:lang w:eastAsia="en-CA"/>
        </w:rPr>
        <w:t xml:space="preserve"> interviews, text </w:t>
      </w:r>
      <w:r w:rsidR="00702B2C" w:rsidRPr="008464D0">
        <w:rPr>
          <w:rFonts w:eastAsia="Times New Roman" w:cstheme="minorHAnsi"/>
          <w:bCs/>
          <w:sz w:val="24"/>
          <w:szCs w:val="24"/>
          <w:lang w:eastAsia="en-CA"/>
        </w:rPr>
        <w:t>analysis, observational</w:t>
      </w:r>
      <w:r w:rsidRPr="008464D0">
        <w:rPr>
          <w:rFonts w:eastAsia="Times New Roman" w:cstheme="minorHAnsi"/>
          <w:bCs/>
          <w:sz w:val="24"/>
          <w:szCs w:val="24"/>
          <w:lang w:eastAsia="en-CA"/>
        </w:rPr>
        <w:t xml:space="preserve"> analysis of use, and user ratings</w:t>
      </w:r>
    </w:p>
    <w:p w14:paraId="15480C85" w14:textId="540BD692" w:rsidR="00ED166F" w:rsidRDefault="00ED166F" w:rsidP="00ED166F">
      <w:pPr>
        <w:pStyle w:val="ListParagraph"/>
        <w:numPr>
          <w:ilvl w:val="0"/>
          <w:numId w:val="6"/>
        </w:numPr>
        <w:rPr>
          <w:rFonts w:eastAsia="Times New Roman" w:cstheme="minorHAnsi"/>
          <w:bCs/>
          <w:sz w:val="24"/>
          <w:szCs w:val="24"/>
          <w:lang w:eastAsia="en-CA"/>
        </w:rPr>
      </w:pPr>
      <w:r w:rsidRPr="008464D0">
        <w:rPr>
          <w:rFonts w:eastAsia="Times New Roman" w:cstheme="minorHAnsi"/>
          <w:bCs/>
          <w:sz w:val="24"/>
          <w:szCs w:val="24"/>
          <w:lang w:eastAsia="en-CA"/>
        </w:rPr>
        <w:t>Equity</w:t>
      </w:r>
      <w:r w:rsidR="00524EF6" w:rsidRPr="008464D0">
        <w:rPr>
          <w:rFonts w:eastAsia="Times New Roman" w:cstheme="minorHAnsi"/>
          <w:bCs/>
          <w:sz w:val="24"/>
          <w:szCs w:val="24"/>
          <w:lang w:eastAsia="en-CA"/>
        </w:rPr>
        <w:t xml:space="preserve"> </w:t>
      </w:r>
      <w:r w:rsidRPr="008464D0">
        <w:rPr>
          <w:rFonts w:eastAsia="Times New Roman" w:cstheme="minorHAnsi"/>
          <w:bCs/>
          <w:sz w:val="24"/>
          <w:szCs w:val="24"/>
          <w:lang w:eastAsia="en-CA"/>
        </w:rPr>
        <w:t>- equity assessment/consultation</w:t>
      </w:r>
      <w:r w:rsidR="00881FCB">
        <w:rPr>
          <w:rFonts w:eastAsia="Times New Roman" w:cstheme="minorHAnsi"/>
          <w:bCs/>
          <w:sz w:val="24"/>
          <w:szCs w:val="24"/>
          <w:lang w:eastAsia="en-CA"/>
        </w:rPr>
        <w:t>; examination of data using intersectional lens</w:t>
      </w:r>
    </w:p>
    <w:p w14:paraId="09C2EEA0" w14:textId="77777777" w:rsidR="007F13DD" w:rsidRDefault="007F13DD" w:rsidP="007F13DD">
      <w:pPr>
        <w:rPr>
          <w:rFonts w:eastAsia="Times New Roman" w:cstheme="minorHAnsi"/>
          <w:bCs/>
          <w:sz w:val="24"/>
          <w:szCs w:val="24"/>
          <w:lang w:eastAsia="en-CA"/>
        </w:rPr>
      </w:pPr>
    </w:p>
    <w:p w14:paraId="63C965EB" w14:textId="6B80E480" w:rsidR="0060091D" w:rsidRDefault="0060091D" w:rsidP="007F13DD">
      <w:pPr>
        <w:rPr>
          <w:rFonts w:eastAsia="Times New Roman" w:cstheme="minorHAnsi"/>
          <w:bCs/>
          <w:sz w:val="24"/>
          <w:szCs w:val="24"/>
          <w:lang w:eastAsia="en-CA"/>
        </w:rPr>
      </w:pPr>
      <w:r>
        <w:rPr>
          <w:rFonts w:eastAsia="Times New Roman" w:cstheme="minorHAnsi"/>
          <w:bCs/>
          <w:sz w:val="24"/>
          <w:szCs w:val="24"/>
          <w:lang w:eastAsia="en-CA"/>
        </w:rPr>
        <w:t>References</w:t>
      </w:r>
    </w:p>
    <w:p w14:paraId="67C6587A" w14:textId="6D1D5831" w:rsidR="005E797F" w:rsidRPr="005E797F" w:rsidRDefault="0060091D" w:rsidP="005E797F">
      <w:pPr>
        <w:widowControl w:val="0"/>
        <w:autoSpaceDE w:val="0"/>
        <w:autoSpaceDN w:val="0"/>
        <w:adjustRightInd w:val="0"/>
        <w:spacing w:line="240" w:lineRule="auto"/>
        <w:ind w:left="640" w:hanging="640"/>
        <w:rPr>
          <w:rFonts w:ascii="Calibri" w:hAnsi="Calibri" w:cs="Calibri"/>
          <w:noProof/>
          <w:sz w:val="24"/>
        </w:rPr>
      </w:pPr>
      <w:r>
        <w:rPr>
          <w:rFonts w:eastAsia="Times New Roman" w:cstheme="minorHAnsi"/>
          <w:bCs/>
          <w:sz w:val="24"/>
          <w:szCs w:val="24"/>
          <w:lang w:eastAsia="en-CA"/>
        </w:rPr>
        <w:fldChar w:fldCharType="begin" w:fldLock="1"/>
      </w:r>
      <w:r>
        <w:rPr>
          <w:rFonts w:eastAsia="Times New Roman" w:cstheme="minorHAnsi"/>
          <w:bCs/>
          <w:sz w:val="24"/>
          <w:szCs w:val="24"/>
          <w:lang w:eastAsia="en-CA"/>
        </w:rPr>
        <w:instrText xml:space="preserve">ADDIN Mendeley Bibliography CSL_BIBLIOGRAPHY </w:instrText>
      </w:r>
      <w:r>
        <w:rPr>
          <w:rFonts w:eastAsia="Times New Roman" w:cstheme="minorHAnsi"/>
          <w:bCs/>
          <w:sz w:val="24"/>
          <w:szCs w:val="24"/>
          <w:lang w:eastAsia="en-CA"/>
        </w:rPr>
        <w:fldChar w:fldCharType="separate"/>
      </w:r>
      <w:r w:rsidR="005E797F" w:rsidRPr="005E797F">
        <w:rPr>
          <w:rFonts w:ascii="Calibri" w:hAnsi="Calibri" w:cs="Calibri"/>
          <w:noProof/>
          <w:sz w:val="24"/>
        </w:rPr>
        <w:t>1.</w:t>
      </w:r>
      <w:r w:rsidR="005E797F" w:rsidRPr="005E797F">
        <w:rPr>
          <w:rFonts w:ascii="Calibri" w:hAnsi="Calibri" w:cs="Calibri"/>
          <w:noProof/>
          <w:sz w:val="24"/>
        </w:rPr>
        <w:tab/>
        <w:t xml:space="preserve">Bird M, Ouellette C, Whitmore C, et al. Preparing for patient partnership: A scoping review of patient partner engagement and evaluation in research. </w:t>
      </w:r>
      <w:r w:rsidR="005E797F" w:rsidRPr="005E797F">
        <w:rPr>
          <w:rFonts w:ascii="Calibri" w:hAnsi="Calibri" w:cs="Calibri"/>
          <w:i/>
          <w:iCs/>
          <w:noProof/>
          <w:sz w:val="24"/>
        </w:rPr>
        <w:t>Heal Expect</w:t>
      </w:r>
      <w:r w:rsidR="005E797F" w:rsidRPr="005E797F">
        <w:rPr>
          <w:rFonts w:ascii="Calibri" w:hAnsi="Calibri" w:cs="Calibri"/>
          <w:noProof/>
          <w:sz w:val="24"/>
        </w:rPr>
        <w:t>. 2020;23(3):523-539. doi:10.1111/hex.13040</w:t>
      </w:r>
    </w:p>
    <w:p w14:paraId="3F3D1F68"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w:t>
      </w:r>
      <w:r w:rsidRPr="005E797F">
        <w:rPr>
          <w:rFonts w:ascii="Calibri" w:hAnsi="Calibri" w:cs="Calibri"/>
          <w:noProof/>
          <w:sz w:val="24"/>
        </w:rPr>
        <w:tab/>
        <w:t xml:space="preserve">Mrklas KJ, Boyd JM, Shergill S, et al. Tools for assessing health research partnership outcomes and impacts: a systematic review. </w:t>
      </w:r>
      <w:r w:rsidRPr="005E797F">
        <w:rPr>
          <w:rFonts w:ascii="Calibri" w:hAnsi="Calibri" w:cs="Calibri"/>
          <w:i/>
          <w:iCs/>
          <w:noProof/>
          <w:sz w:val="24"/>
        </w:rPr>
        <w:t>Heal Res Policy Syst</w:t>
      </w:r>
      <w:r w:rsidRPr="005E797F">
        <w:rPr>
          <w:rFonts w:ascii="Calibri" w:hAnsi="Calibri" w:cs="Calibri"/>
          <w:noProof/>
          <w:sz w:val="24"/>
        </w:rPr>
        <w:t>. 2023;21(1):1-30. doi:10.1186/s12961-022-00937-9</w:t>
      </w:r>
    </w:p>
    <w:p w14:paraId="26EA9F84"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w:t>
      </w:r>
      <w:r w:rsidRPr="005E797F">
        <w:rPr>
          <w:rFonts w:ascii="Calibri" w:hAnsi="Calibri" w:cs="Calibri"/>
          <w:noProof/>
          <w:sz w:val="24"/>
        </w:rPr>
        <w:tab/>
        <w:t xml:space="preserve">Yardley L, Spring BJ, Riper H, et al. Understanding and Promoting Effective Engagement With Digital Behavior Change Interventions. </w:t>
      </w:r>
      <w:r w:rsidRPr="005E797F">
        <w:rPr>
          <w:rFonts w:ascii="Calibri" w:hAnsi="Calibri" w:cs="Calibri"/>
          <w:i/>
          <w:iCs/>
          <w:noProof/>
          <w:sz w:val="24"/>
        </w:rPr>
        <w:t>Am J Prev Med</w:t>
      </w:r>
      <w:r w:rsidRPr="005E797F">
        <w:rPr>
          <w:rFonts w:ascii="Calibri" w:hAnsi="Calibri" w:cs="Calibri"/>
          <w:noProof/>
          <w:sz w:val="24"/>
        </w:rPr>
        <w:t>. 2016;51(5):833-842. doi:10.1016/j.amepre.2016.06.015</w:t>
      </w:r>
    </w:p>
    <w:p w14:paraId="11F6506A"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4.</w:t>
      </w:r>
      <w:r w:rsidRPr="005E797F">
        <w:rPr>
          <w:rFonts w:ascii="Calibri" w:hAnsi="Calibri" w:cs="Calibri"/>
          <w:noProof/>
          <w:sz w:val="24"/>
        </w:rPr>
        <w:tab/>
        <w:t xml:space="preserve">Araújo-Soares V, Hankonen N, Presseau J, Rodrigues A, Sniehotta FF. Developing Behavior Change Interventions for Self-Management in Chronic Illness: An Integrative Overview. </w:t>
      </w:r>
      <w:r w:rsidRPr="005E797F">
        <w:rPr>
          <w:rFonts w:ascii="Calibri" w:hAnsi="Calibri" w:cs="Calibri"/>
          <w:i/>
          <w:iCs/>
          <w:noProof/>
          <w:sz w:val="24"/>
        </w:rPr>
        <w:t>Eur Psychol</w:t>
      </w:r>
      <w:r w:rsidRPr="005E797F">
        <w:rPr>
          <w:rFonts w:ascii="Calibri" w:hAnsi="Calibri" w:cs="Calibri"/>
          <w:noProof/>
          <w:sz w:val="24"/>
        </w:rPr>
        <w:t>. 2019;24(1):7-25. doi:10.1027/1016-9040/a000330</w:t>
      </w:r>
    </w:p>
    <w:p w14:paraId="3177B499"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5.</w:t>
      </w:r>
      <w:r w:rsidRPr="005E797F">
        <w:rPr>
          <w:rFonts w:ascii="Calibri" w:hAnsi="Calibri" w:cs="Calibri"/>
          <w:noProof/>
          <w:sz w:val="24"/>
        </w:rPr>
        <w:tab/>
        <w:t xml:space="preserve">Teixeira PJ, Marques MM, Silva MN, et al. A classification of motivation and behavior change techniques used in self-determination theory-based interventions in health contexts. </w:t>
      </w:r>
      <w:r w:rsidRPr="005E797F">
        <w:rPr>
          <w:rFonts w:ascii="Calibri" w:hAnsi="Calibri" w:cs="Calibri"/>
          <w:i/>
          <w:iCs/>
          <w:noProof/>
          <w:sz w:val="24"/>
        </w:rPr>
        <w:t>Motiv Sci</w:t>
      </w:r>
      <w:r w:rsidRPr="005E797F">
        <w:rPr>
          <w:rFonts w:ascii="Calibri" w:hAnsi="Calibri" w:cs="Calibri"/>
          <w:noProof/>
          <w:sz w:val="24"/>
        </w:rPr>
        <w:t>. 2020;6(4):438-455. doi:10.1037/mot0000172</w:t>
      </w:r>
    </w:p>
    <w:p w14:paraId="58580D00"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6.</w:t>
      </w:r>
      <w:r w:rsidRPr="005E797F">
        <w:rPr>
          <w:rFonts w:ascii="Calibri" w:hAnsi="Calibri" w:cs="Calibri"/>
          <w:noProof/>
          <w:sz w:val="24"/>
        </w:rPr>
        <w:tab/>
        <w:t xml:space="preserve">Millard D, Howard Y, Gilbert L, Wills G. Co-design and co-deployment methodologies for innovative m-learning systems. </w:t>
      </w:r>
      <w:r w:rsidRPr="005E797F">
        <w:rPr>
          <w:rFonts w:ascii="Calibri" w:hAnsi="Calibri" w:cs="Calibri"/>
          <w:i/>
          <w:iCs/>
          <w:noProof/>
          <w:sz w:val="24"/>
        </w:rPr>
        <w:t>Mult E-Learning Syst Technol Mob Devices Ubiquitous ICT-Based Educ</w:t>
      </w:r>
      <w:r w:rsidRPr="005E797F">
        <w:rPr>
          <w:rFonts w:ascii="Calibri" w:hAnsi="Calibri" w:cs="Calibri"/>
          <w:noProof/>
          <w:sz w:val="24"/>
        </w:rPr>
        <w:t>. Published online 2009:147-163. doi:10.4018/978-1-60566-703-4.ch009</w:t>
      </w:r>
    </w:p>
    <w:p w14:paraId="44F7946A"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7.</w:t>
      </w:r>
      <w:r w:rsidRPr="005E797F">
        <w:rPr>
          <w:rFonts w:ascii="Calibri" w:hAnsi="Calibri" w:cs="Calibri"/>
          <w:noProof/>
          <w:sz w:val="24"/>
        </w:rPr>
        <w:tab/>
        <w:t xml:space="preserve">Jessup RL, Osborne RH, Buchbinder R, Beauchamp A. Using co-design to develop interventions to address health literacy needs in a hospitalised population. </w:t>
      </w:r>
      <w:r w:rsidRPr="005E797F">
        <w:rPr>
          <w:rFonts w:ascii="Calibri" w:hAnsi="Calibri" w:cs="Calibri"/>
          <w:i/>
          <w:iCs/>
          <w:noProof/>
          <w:sz w:val="24"/>
        </w:rPr>
        <w:t>BMC Health Serv Res</w:t>
      </w:r>
      <w:r w:rsidRPr="005E797F">
        <w:rPr>
          <w:rFonts w:ascii="Calibri" w:hAnsi="Calibri" w:cs="Calibri"/>
          <w:noProof/>
          <w:sz w:val="24"/>
        </w:rPr>
        <w:t>. 2018;18(1):1-13. doi:10.1186/s12913-018-3801-7</w:t>
      </w:r>
    </w:p>
    <w:p w14:paraId="6905710F"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8.</w:t>
      </w:r>
      <w:r w:rsidRPr="005E797F">
        <w:rPr>
          <w:rFonts w:ascii="Calibri" w:hAnsi="Calibri" w:cs="Calibri"/>
          <w:noProof/>
          <w:sz w:val="24"/>
        </w:rPr>
        <w:tab/>
        <w:t xml:space="preserve">Castro EM, Malfait S, Van Regenmortel T, Van Hecke A, Sermeus W, Vanhaecht K. Co-design for implementing patient participation in hospital services: A discussion paper. </w:t>
      </w:r>
      <w:r w:rsidRPr="005E797F">
        <w:rPr>
          <w:rFonts w:ascii="Calibri" w:hAnsi="Calibri" w:cs="Calibri"/>
          <w:i/>
          <w:iCs/>
          <w:noProof/>
          <w:sz w:val="24"/>
        </w:rPr>
        <w:t>Patient Educ Couns</w:t>
      </w:r>
      <w:r w:rsidRPr="005E797F">
        <w:rPr>
          <w:rFonts w:ascii="Calibri" w:hAnsi="Calibri" w:cs="Calibri"/>
          <w:noProof/>
          <w:sz w:val="24"/>
        </w:rPr>
        <w:t>. 2018;101(7):1302-1305. doi:10.1016/j.pec.2018.03.019</w:t>
      </w:r>
    </w:p>
    <w:p w14:paraId="10CF4264"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9.</w:t>
      </w:r>
      <w:r w:rsidRPr="005E797F">
        <w:rPr>
          <w:rFonts w:ascii="Calibri" w:hAnsi="Calibri" w:cs="Calibri"/>
          <w:noProof/>
          <w:sz w:val="24"/>
        </w:rPr>
        <w:tab/>
        <w:t xml:space="preserve">Spina G, Verganti R, Zotteri G. Factors influencing co-design adoption: Drivers and internal consistency. </w:t>
      </w:r>
      <w:r w:rsidRPr="005E797F">
        <w:rPr>
          <w:rFonts w:ascii="Calibri" w:hAnsi="Calibri" w:cs="Calibri"/>
          <w:i/>
          <w:iCs/>
          <w:noProof/>
          <w:sz w:val="24"/>
        </w:rPr>
        <w:t>Int J Oper Prod Manag</w:t>
      </w:r>
      <w:r w:rsidRPr="005E797F">
        <w:rPr>
          <w:rFonts w:ascii="Calibri" w:hAnsi="Calibri" w:cs="Calibri"/>
          <w:noProof/>
          <w:sz w:val="24"/>
        </w:rPr>
        <w:t>. 2002;22(12):1354-1366. doi:10.1108/01443570210452048</w:t>
      </w:r>
    </w:p>
    <w:p w14:paraId="7A32A60E"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10.</w:t>
      </w:r>
      <w:r w:rsidRPr="005E797F">
        <w:rPr>
          <w:rFonts w:ascii="Calibri" w:hAnsi="Calibri" w:cs="Calibri"/>
          <w:noProof/>
          <w:sz w:val="24"/>
        </w:rPr>
        <w:tab/>
        <w:t xml:space="preserve">Sumner J, Chong LS, Bundele A, Wei Lim Y. Co-Designing Technology for Aging in Place: A Systematic Review. </w:t>
      </w:r>
      <w:r w:rsidRPr="005E797F">
        <w:rPr>
          <w:rFonts w:ascii="Calibri" w:hAnsi="Calibri" w:cs="Calibri"/>
          <w:i/>
          <w:iCs/>
          <w:noProof/>
          <w:sz w:val="24"/>
        </w:rPr>
        <w:t>Gerontologist</w:t>
      </w:r>
      <w:r w:rsidRPr="005E797F">
        <w:rPr>
          <w:rFonts w:ascii="Calibri" w:hAnsi="Calibri" w:cs="Calibri"/>
          <w:noProof/>
          <w:sz w:val="24"/>
        </w:rPr>
        <w:t>. 2021;61(7):E395-E409. doi:10.1093/geront/gnaa064</w:t>
      </w:r>
    </w:p>
    <w:p w14:paraId="04195BFA"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11.</w:t>
      </w:r>
      <w:r w:rsidRPr="005E797F">
        <w:rPr>
          <w:rFonts w:ascii="Calibri" w:hAnsi="Calibri" w:cs="Calibri"/>
          <w:noProof/>
          <w:sz w:val="24"/>
        </w:rPr>
        <w:tab/>
        <w:t xml:space="preserve">Sumner J, Tan SY, Wang Y, et al. Co-Designing Remote Patient Monitoring Technologies for Inpatients: Systematic Review. </w:t>
      </w:r>
      <w:r w:rsidRPr="005E797F">
        <w:rPr>
          <w:rFonts w:ascii="Calibri" w:hAnsi="Calibri" w:cs="Calibri"/>
          <w:i/>
          <w:iCs/>
          <w:noProof/>
          <w:sz w:val="24"/>
        </w:rPr>
        <w:t>J Med Internet Res</w:t>
      </w:r>
      <w:r w:rsidRPr="005E797F">
        <w:rPr>
          <w:rFonts w:ascii="Calibri" w:hAnsi="Calibri" w:cs="Calibri"/>
          <w:noProof/>
          <w:sz w:val="24"/>
        </w:rPr>
        <w:t>. 2024;26:e58144. doi:10.2196/58144</w:t>
      </w:r>
    </w:p>
    <w:p w14:paraId="5BEA4715"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12.</w:t>
      </w:r>
      <w:r w:rsidRPr="005E797F">
        <w:rPr>
          <w:rFonts w:ascii="Calibri" w:hAnsi="Calibri" w:cs="Calibri"/>
          <w:noProof/>
          <w:sz w:val="24"/>
        </w:rPr>
        <w:tab/>
        <w:t xml:space="preserve">Slattery P, Saeri AK, Bragge P. Research co-design in health: A rapid overview of reviews. </w:t>
      </w:r>
      <w:r w:rsidRPr="005E797F">
        <w:rPr>
          <w:rFonts w:ascii="Calibri" w:hAnsi="Calibri" w:cs="Calibri"/>
          <w:i/>
          <w:iCs/>
          <w:noProof/>
          <w:sz w:val="24"/>
        </w:rPr>
        <w:t>Heal Res Policy Syst</w:t>
      </w:r>
      <w:r w:rsidRPr="005E797F">
        <w:rPr>
          <w:rFonts w:ascii="Calibri" w:hAnsi="Calibri" w:cs="Calibri"/>
          <w:noProof/>
          <w:sz w:val="24"/>
        </w:rPr>
        <w:t>. 2020;18(1). doi:10.1186/s12961-020-0528-9</w:t>
      </w:r>
    </w:p>
    <w:p w14:paraId="45B5D27C"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13.</w:t>
      </w:r>
      <w:r w:rsidRPr="005E797F">
        <w:rPr>
          <w:rFonts w:ascii="Calibri" w:hAnsi="Calibri" w:cs="Calibri"/>
          <w:noProof/>
          <w:sz w:val="24"/>
        </w:rPr>
        <w:tab/>
        <w:t xml:space="preserve">Peters S, Guccione L, Francis J, et al. Evaluation of research co-design in health: a systematic overview of reviews and development of a framework. </w:t>
      </w:r>
      <w:r w:rsidRPr="005E797F">
        <w:rPr>
          <w:rFonts w:ascii="Calibri" w:hAnsi="Calibri" w:cs="Calibri"/>
          <w:i/>
          <w:iCs/>
          <w:noProof/>
          <w:sz w:val="24"/>
        </w:rPr>
        <w:t xml:space="preserve">Implement Sci </w:t>
      </w:r>
      <w:r w:rsidRPr="005E797F">
        <w:rPr>
          <w:rFonts w:ascii="Calibri" w:hAnsi="Calibri" w:cs="Calibri"/>
          <w:noProof/>
          <w:sz w:val="24"/>
        </w:rPr>
        <w:t>. 2024;19(1). doi:10.1186/s13012-024-01394-4</w:t>
      </w:r>
    </w:p>
    <w:p w14:paraId="6B58C16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14.</w:t>
      </w:r>
      <w:r w:rsidRPr="005E797F">
        <w:rPr>
          <w:rFonts w:ascii="Calibri" w:hAnsi="Calibri" w:cs="Calibri"/>
          <w:noProof/>
          <w:sz w:val="24"/>
        </w:rPr>
        <w:tab/>
        <w:t xml:space="preserve">Masterson D, Josefsson KA, Robert G, Nylander E, Kjellstrom S. Mapping definitions of co‐production and co‐design in health and social care. </w:t>
      </w:r>
      <w:r w:rsidRPr="005E797F">
        <w:rPr>
          <w:rFonts w:ascii="Calibri" w:hAnsi="Calibri" w:cs="Calibri"/>
          <w:i/>
          <w:iCs/>
          <w:noProof/>
          <w:sz w:val="24"/>
        </w:rPr>
        <w:t>Heal Expect</w:t>
      </w:r>
      <w:r w:rsidRPr="005E797F">
        <w:rPr>
          <w:rFonts w:ascii="Calibri" w:hAnsi="Calibri" w:cs="Calibri"/>
          <w:noProof/>
          <w:sz w:val="24"/>
        </w:rPr>
        <w:t>. 2022;25(1):902-913.</w:t>
      </w:r>
    </w:p>
    <w:p w14:paraId="47015F65"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15.</w:t>
      </w:r>
      <w:r w:rsidRPr="005E797F">
        <w:rPr>
          <w:rFonts w:ascii="Calibri" w:hAnsi="Calibri" w:cs="Calibri"/>
          <w:noProof/>
          <w:sz w:val="24"/>
        </w:rPr>
        <w:tab/>
        <w:t xml:space="preserve">Baker A, Cornwell P, Gustafsson L, Stewart C, Lannin NA. Developing tailored theoretically informed goal-setting interventions for rehabilitation services: a co-design approach. </w:t>
      </w:r>
      <w:r w:rsidRPr="005E797F">
        <w:rPr>
          <w:rFonts w:ascii="Calibri" w:hAnsi="Calibri" w:cs="Calibri"/>
          <w:i/>
          <w:iCs/>
          <w:noProof/>
          <w:sz w:val="24"/>
        </w:rPr>
        <w:t>BMC Health Serv Res</w:t>
      </w:r>
      <w:r w:rsidRPr="005E797F">
        <w:rPr>
          <w:rFonts w:ascii="Calibri" w:hAnsi="Calibri" w:cs="Calibri"/>
          <w:noProof/>
          <w:sz w:val="24"/>
        </w:rPr>
        <w:t>. 2022;22(1):1-21. doi:10.1186/s12913-022-08047-6</w:t>
      </w:r>
    </w:p>
    <w:p w14:paraId="1AB575A4"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16.</w:t>
      </w:r>
      <w:r w:rsidRPr="005E797F">
        <w:rPr>
          <w:rFonts w:ascii="Calibri" w:hAnsi="Calibri" w:cs="Calibri"/>
          <w:noProof/>
          <w:sz w:val="24"/>
        </w:rPr>
        <w:tab/>
        <w:t xml:space="preserve">Trochim WMKE. Concept Mapping for Evaluation and Planning.PDF. </w:t>
      </w:r>
      <w:r w:rsidRPr="005E797F">
        <w:rPr>
          <w:rFonts w:ascii="Calibri" w:hAnsi="Calibri" w:cs="Calibri"/>
          <w:i/>
          <w:iCs/>
          <w:noProof/>
          <w:sz w:val="24"/>
        </w:rPr>
        <w:t>Eval Program Plann</w:t>
      </w:r>
      <w:r w:rsidRPr="005E797F">
        <w:rPr>
          <w:rFonts w:ascii="Calibri" w:hAnsi="Calibri" w:cs="Calibri"/>
          <w:noProof/>
          <w:sz w:val="24"/>
        </w:rPr>
        <w:t>. 2006;12:216.</w:t>
      </w:r>
    </w:p>
    <w:p w14:paraId="3E6EE72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17.</w:t>
      </w:r>
      <w:r w:rsidRPr="005E797F">
        <w:rPr>
          <w:rFonts w:ascii="Calibri" w:hAnsi="Calibri" w:cs="Calibri"/>
          <w:noProof/>
          <w:sz w:val="24"/>
        </w:rPr>
        <w:tab/>
        <w:t xml:space="preserve">Trochim WM, McLinden D. Introduction to a special issue on concept mapping. </w:t>
      </w:r>
      <w:r w:rsidRPr="005E797F">
        <w:rPr>
          <w:rFonts w:ascii="Calibri" w:hAnsi="Calibri" w:cs="Calibri"/>
          <w:i/>
          <w:iCs/>
          <w:noProof/>
          <w:sz w:val="24"/>
        </w:rPr>
        <w:t>Eval Program Plann</w:t>
      </w:r>
      <w:r w:rsidRPr="005E797F">
        <w:rPr>
          <w:rFonts w:ascii="Calibri" w:hAnsi="Calibri" w:cs="Calibri"/>
          <w:noProof/>
          <w:sz w:val="24"/>
        </w:rPr>
        <w:t>. 2017;60:166-175. doi:10.1016/j.evalprogplan.2016.10.006</w:t>
      </w:r>
    </w:p>
    <w:p w14:paraId="3FA67D1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18.</w:t>
      </w:r>
      <w:r w:rsidRPr="005E797F">
        <w:rPr>
          <w:rFonts w:ascii="Calibri" w:hAnsi="Calibri" w:cs="Calibri"/>
          <w:noProof/>
          <w:sz w:val="24"/>
        </w:rPr>
        <w:tab/>
        <w:t xml:space="preserve">Direito A, Walsh D, Hinbarji M, et al. Using the Intervention Mapping and Behavioral Intervention Technology Frameworks: Development of an mHealth Intervention for Physical Activity and Sedentary Behavior Change. </w:t>
      </w:r>
      <w:r w:rsidRPr="005E797F">
        <w:rPr>
          <w:rFonts w:ascii="Calibri" w:hAnsi="Calibri" w:cs="Calibri"/>
          <w:i/>
          <w:iCs/>
          <w:noProof/>
          <w:sz w:val="24"/>
        </w:rPr>
        <w:t>Heal Educ Behav</w:t>
      </w:r>
      <w:r w:rsidRPr="005E797F">
        <w:rPr>
          <w:rFonts w:ascii="Calibri" w:hAnsi="Calibri" w:cs="Calibri"/>
          <w:noProof/>
          <w:sz w:val="24"/>
        </w:rPr>
        <w:t>. 2018;45(3):331-348. doi:10.1177/1090198117742438</w:t>
      </w:r>
    </w:p>
    <w:p w14:paraId="71199E7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19.</w:t>
      </w:r>
      <w:r w:rsidRPr="005E797F">
        <w:rPr>
          <w:rFonts w:ascii="Calibri" w:hAnsi="Calibri" w:cs="Calibri"/>
          <w:noProof/>
          <w:sz w:val="24"/>
        </w:rPr>
        <w:tab/>
        <w:t xml:space="preserve">Jones. Taryn M, Dear BF, Hush J, Titov N, Dean CM. Application of Intervention Mapping to the Development of a Complex Physical Therapist Intervention. </w:t>
      </w:r>
      <w:r w:rsidRPr="005E797F">
        <w:rPr>
          <w:rFonts w:ascii="Calibri" w:hAnsi="Calibri" w:cs="Calibri"/>
          <w:i/>
          <w:iCs/>
          <w:noProof/>
          <w:sz w:val="24"/>
        </w:rPr>
        <w:t>Phys Ther</w:t>
      </w:r>
      <w:r w:rsidRPr="005E797F">
        <w:rPr>
          <w:rFonts w:ascii="Calibri" w:hAnsi="Calibri" w:cs="Calibri"/>
          <w:noProof/>
          <w:sz w:val="24"/>
        </w:rPr>
        <w:t>. 1994;96(12):1994-2004.</w:t>
      </w:r>
    </w:p>
    <w:p w14:paraId="7EE21805"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20.</w:t>
      </w:r>
      <w:r w:rsidRPr="005E797F">
        <w:rPr>
          <w:rFonts w:ascii="Calibri" w:hAnsi="Calibri" w:cs="Calibri"/>
          <w:noProof/>
          <w:sz w:val="24"/>
        </w:rPr>
        <w:tab/>
        <w:t xml:space="preserve">Bartholomew LK, Parcel GS, Kok G. Intervention Mapping: A Process for Developing Theory- and Evidence-Based Health Education Programs. </w:t>
      </w:r>
      <w:r w:rsidRPr="005E797F">
        <w:rPr>
          <w:rFonts w:ascii="Calibri" w:hAnsi="Calibri" w:cs="Calibri"/>
          <w:i/>
          <w:iCs/>
          <w:noProof/>
          <w:sz w:val="24"/>
        </w:rPr>
        <w:t>Heal Educ Behav</w:t>
      </w:r>
      <w:r w:rsidRPr="005E797F">
        <w:rPr>
          <w:rFonts w:ascii="Calibri" w:hAnsi="Calibri" w:cs="Calibri"/>
          <w:noProof/>
          <w:sz w:val="24"/>
        </w:rPr>
        <w:t>. Published online 1998. doi:10.1177/109019819802500502</w:t>
      </w:r>
    </w:p>
    <w:p w14:paraId="42C0665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21.</w:t>
      </w:r>
      <w:r w:rsidRPr="005E797F">
        <w:rPr>
          <w:rFonts w:ascii="Calibri" w:hAnsi="Calibri" w:cs="Calibri"/>
          <w:noProof/>
          <w:sz w:val="24"/>
        </w:rPr>
        <w:tab/>
        <w:t xml:space="preserve">Kok G, Gottlieb NH, Peters GJY, et al. A taxonomy of behaviour change methods: an Intervention Mapping approach. </w:t>
      </w:r>
      <w:r w:rsidRPr="005E797F">
        <w:rPr>
          <w:rFonts w:ascii="Calibri" w:hAnsi="Calibri" w:cs="Calibri"/>
          <w:i/>
          <w:iCs/>
          <w:noProof/>
          <w:sz w:val="24"/>
        </w:rPr>
        <w:t>Health Psychol Rev</w:t>
      </w:r>
      <w:r w:rsidRPr="005E797F">
        <w:rPr>
          <w:rFonts w:ascii="Calibri" w:hAnsi="Calibri" w:cs="Calibri"/>
          <w:noProof/>
          <w:sz w:val="24"/>
        </w:rPr>
        <w:t>. 2016;10(3):297-312. doi:10.1080/17437199.2015.1077155</w:t>
      </w:r>
    </w:p>
    <w:p w14:paraId="6A22C815"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22.</w:t>
      </w:r>
      <w:r w:rsidRPr="005E797F">
        <w:rPr>
          <w:rFonts w:ascii="Calibri" w:hAnsi="Calibri" w:cs="Calibri"/>
          <w:noProof/>
          <w:sz w:val="24"/>
        </w:rPr>
        <w:tab/>
        <w:t xml:space="preserve">Fernandez ME, ten Hoor GA, van Lieshout S, et al. Implementation mapping: Using intervention mapping to develop implementation strategies. </w:t>
      </w:r>
      <w:r w:rsidRPr="005E797F">
        <w:rPr>
          <w:rFonts w:ascii="Calibri" w:hAnsi="Calibri" w:cs="Calibri"/>
          <w:i/>
          <w:iCs/>
          <w:noProof/>
          <w:sz w:val="24"/>
        </w:rPr>
        <w:t>Front Public Heal</w:t>
      </w:r>
      <w:r w:rsidRPr="005E797F">
        <w:rPr>
          <w:rFonts w:ascii="Calibri" w:hAnsi="Calibri" w:cs="Calibri"/>
          <w:noProof/>
          <w:sz w:val="24"/>
        </w:rPr>
        <w:t>. 2019;7(JUN):1-15. doi:10.3389/fpubh.2019.00158</w:t>
      </w:r>
    </w:p>
    <w:p w14:paraId="5362BB79"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23.</w:t>
      </w:r>
      <w:r w:rsidRPr="005E797F">
        <w:rPr>
          <w:rFonts w:ascii="Calibri" w:hAnsi="Calibri" w:cs="Calibri"/>
          <w:noProof/>
          <w:sz w:val="24"/>
        </w:rPr>
        <w:tab/>
        <w:t xml:space="preserve">Bakhuys Roozeboom MC, Wiezer NM, Boot CRL, Bongers PM, Schelvis RMC. Use of intervention mapping for occupational risk prevention and health promotion: A systematic review of literature. </w:t>
      </w:r>
      <w:r w:rsidRPr="005E797F">
        <w:rPr>
          <w:rFonts w:ascii="Calibri" w:hAnsi="Calibri" w:cs="Calibri"/>
          <w:i/>
          <w:iCs/>
          <w:noProof/>
          <w:sz w:val="24"/>
        </w:rPr>
        <w:t>Int J Environ Res Public Health</w:t>
      </w:r>
      <w:r w:rsidRPr="005E797F">
        <w:rPr>
          <w:rFonts w:ascii="Calibri" w:hAnsi="Calibri" w:cs="Calibri"/>
          <w:noProof/>
          <w:sz w:val="24"/>
        </w:rPr>
        <w:t>. 2021;18(4):1-19. doi:10.3390/ijerph18041775</w:t>
      </w:r>
    </w:p>
    <w:p w14:paraId="0DBEF5B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24.</w:t>
      </w:r>
      <w:r w:rsidRPr="005E797F">
        <w:rPr>
          <w:rFonts w:ascii="Calibri" w:hAnsi="Calibri" w:cs="Calibri"/>
          <w:noProof/>
          <w:sz w:val="24"/>
        </w:rPr>
        <w:tab/>
        <w:t xml:space="preserve">Smith JD, Li DH, Rafferty MR. The Implementation Research Logic Model: A method for planning, executing, reporting, and synthesizing implementation projects. </w:t>
      </w:r>
      <w:r w:rsidRPr="005E797F">
        <w:rPr>
          <w:rFonts w:ascii="Calibri" w:hAnsi="Calibri" w:cs="Calibri"/>
          <w:i/>
          <w:iCs/>
          <w:noProof/>
          <w:sz w:val="24"/>
        </w:rPr>
        <w:t>Implement Sci</w:t>
      </w:r>
      <w:r w:rsidRPr="005E797F">
        <w:rPr>
          <w:rFonts w:ascii="Calibri" w:hAnsi="Calibri" w:cs="Calibri"/>
          <w:noProof/>
          <w:sz w:val="24"/>
        </w:rPr>
        <w:t>. 2020;15(1):1-12. doi:10.1186/s13012-020-01041-8</w:t>
      </w:r>
    </w:p>
    <w:p w14:paraId="71E612E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25.</w:t>
      </w:r>
      <w:r w:rsidRPr="005E797F">
        <w:rPr>
          <w:rFonts w:ascii="Calibri" w:hAnsi="Calibri" w:cs="Calibri"/>
          <w:noProof/>
          <w:sz w:val="24"/>
        </w:rPr>
        <w:tab/>
        <w:t xml:space="preserve">Hach S, Alder G, Stavric V, Taylor D, Signal N. Usability Assessment Methods for Mobile Apps for Physical Rehabilitation: Umbrella Review. </w:t>
      </w:r>
      <w:r w:rsidRPr="005E797F">
        <w:rPr>
          <w:rFonts w:ascii="Calibri" w:hAnsi="Calibri" w:cs="Calibri"/>
          <w:i/>
          <w:iCs/>
          <w:noProof/>
          <w:sz w:val="24"/>
        </w:rPr>
        <w:t>JMIR Mhealth Uhealth</w:t>
      </w:r>
      <w:r w:rsidRPr="005E797F">
        <w:rPr>
          <w:rFonts w:ascii="Calibri" w:hAnsi="Calibri" w:cs="Calibri"/>
          <w:noProof/>
          <w:sz w:val="24"/>
        </w:rPr>
        <w:t>. 2024;12:e49449. doi:10.2196/49449</w:t>
      </w:r>
    </w:p>
    <w:p w14:paraId="226FE71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26.</w:t>
      </w:r>
      <w:r w:rsidRPr="005E797F">
        <w:rPr>
          <w:rFonts w:ascii="Calibri" w:hAnsi="Calibri" w:cs="Calibri"/>
          <w:noProof/>
          <w:sz w:val="24"/>
        </w:rPr>
        <w:tab/>
        <w:t xml:space="preserve">Alhasani R, George N, Radman D, Auger C, Ahmed S. Methodologies for Evaluating the Usability of Rehabilitation Technologies Aimed at Supporting Shared Decision-Making: Scoping Review. </w:t>
      </w:r>
      <w:r w:rsidRPr="005E797F">
        <w:rPr>
          <w:rFonts w:ascii="Calibri" w:hAnsi="Calibri" w:cs="Calibri"/>
          <w:i/>
          <w:iCs/>
          <w:noProof/>
          <w:sz w:val="24"/>
        </w:rPr>
        <w:t>JMIR Rehabil Assist Technol</w:t>
      </w:r>
      <w:r w:rsidRPr="005E797F">
        <w:rPr>
          <w:rFonts w:ascii="Calibri" w:hAnsi="Calibri" w:cs="Calibri"/>
          <w:noProof/>
          <w:sz w:val="24"/>
        </w:rPr>
        <w:t>. 2023;10:e41359. doi:10.2196/41359</w:t>
      </w:r>
    </w:p>
    <w:p w14:paraId="3A00EF44"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27.</w:t>
      </w:r>
      <w:r w:rsidRPr="005E797F">
        <w:rPr>
          <w:rFonts w:ascii="Calibri" w:hAnsi="Calibri" w:cs="Calibri"/>
          <w:noProof/>
          <w:sz w:val="24"/>
        </w:rPr>
        <w:tab/>
        <w:t xml:space="preserve">Saare MA, Hussain A Bin, Jasim OM, Mahdi AA. Usability evaluation of mobile tracking applications: A systematic review. </w:t>
      </w:r>
      <w:r w:rsidRPr="005E797F">
        <w:rPr>
          <w:rFonts w:ascii="Calibri" w:hAnsi="Calibri" w:cs="Calibri"/>
          <w:i/>
          <w:iCs/>
          <w:noProof/>
          <w:sz w:val="24"/>
        </w:rPr>
        <w:t>Int J Interact Mob Technol</w:t>
      </w:r>
      <w:r w:rsidRPr="005E797F">
        <w:rPr>
          <w:rFonts w:ascii="Calibri" w:hAnsi="Calibri" w:cs="Calibri"/>
          <w:noProof/>
          <w:sz w:val="24"/>
        </w:rPr>
        <w:t>. 2020;14(5):119-128. doi:10.3991/IJIM.V14I05.13353</w:t>
      </w:r>
    </w:p>
    <w:p w14:paraId="50E7C6F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28.</w:t>
      </w:r>
      <w:r w:rsidRPr="005E797F">
        <w:rPr>
          <w:rFonts w:ascii="Calibri" w:hAnsi="Calibri" w:cs="Calibri"/>
          <w:noProof/>
          <w:sz w:val="24"/>
        </w:rPr>
        <w:tab/>
        <w:t xml:space="preserve">Cavalcanti VC, De Santana MI, Da Gama AEF, Correia WFM. Usability assessments for augmented reality motor rehabilitation solutions: A systematic review. </w:t>
      </w:r>
      <w:r w:rsidRPr="005E797F">
        <w:rPr>
          <w:rFonts w:ascii="Calibri" w:hAnsi="Calibri" w:cs="Calibri"/>
          <w:i/>
          <w:iCs/>
          <w:noProof/>
          <w:sz w:val="24"/>
        </w:rPr>
        <w:t>Int J Comput Games Technol</w:t>
      </w:r>
      <w:r w:rsidRPr="005E797F">
        <w:rPr>
          <w:rFonts w:ascii="Calibri" w:hAnsi="Calibri" w:cs="Calibri"/>
          <w:noProof/>
          <w:sz w:val="24"/>
        </w:rPr>
        <w:t>. 2018;2018. doi:10.1155/2018/5387896</w:t>
      </w:r>
    </w:p>
    <w:p w14:paraId="66C9B618"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29.</w:t>
      </w:r>
      <w:r w:rsidRPr="005E797F">
        <w:rPr>
          <w:rFonts w:ascii="Calibri" w:hAnsi="Calibri" w:cs="Calibri"/>
          <w:noProof/>
          <w:sz w:val="24"/>
        </w:rPr>
        <w:tab/>
        <w:t xml:space="preserve">Sayani A, Maybee A, Manthorne J, et al. Equity-Mobilizing Partnerships in Community (EMPaCT): Co-Designing Patient Engagement to Promote Health Equity. </w:t>
      </w:r>
      <w:r w:rsidRPr="005E797F">
        <w:rPr>
          <w:rFonts w:ascii="Calibri" w:hAnsi="Calibri" w:cs="Calibri"/>
          <w:i/>
          <w:iCs/>
          <w:noProof/>
          <w:sz w:val="24"/>
        </w:rPr>
        <w:t>Healthc Q</w:t>
      </w:r>
      <w:r w:rsidRPr="005E797F">
        <w:rPr>
          <w:rFonts w:ascii="Calibri" w:hAnsi="Calibri" w:cs="Calibri"/>
          <w:noProof/>
          <w:sz w:val="24"/>
        </w:rPr>
        <w:t>. 2022;24(Speacial Issue):86-92. doi:10.12927/hcq.2022.26768</w:t>
      </w:r>
    </w:p>
    <w:p w14:paraId="635B9CEB"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30.</w:t>
      </w:r>
      <w:r w:rsidRPr="005E797F">
        <w:rPr>
          <w:rFonts w:ascii="Calibri" w:hAnsi="Calibri" w:cs="Calibri"/>
          <w:noProof/>
          <w:sz w:val="24"/>
        </w:rPr>
        <w:tab/>
        <w:t xml:space="preserve">Latulippe K, Hamel C, Giroux D. Co-Design to Support the Development of Inclusive eHealth Tools for Caregivers of Functionally Dependent Older Persons: Social Justice Design. </w:t>
      </w:r>
      <w:r w:rsidRPr="005E797F">
        <w:rPr>
          <w:rFonts w:ascii="Calibri" w:hAnsi="Calibri" w:cs="Calibri"/>
          <w:i/>
          <w:iCs/>
          <w:noProof/>
          <w:sz w:val="24"/>
        </w:rPr>
        <w:t>J Med Internet Res</w:t>
      </w:r>
      <w:r w:rsidRPr="005E797F">
        <w:rPr>
          <w:rFonts w:ascii="Calibri" w:hAnsi="Calibri" w:cs="Calibri"/>
          <w:noProof/>
          <w:sz w:val="24"/>
        </w:rPr>
        <w:t>. 2020;22(11). doi:10.2196/18399</w:t>
      </w:r>
    </w:p>
    <w:p w14:paraId="4C9FDA48"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31.</w:t>
      </w:r>
      <w:r w:rsidRPr="005E797F">
        <w:rPr>
          <w:rFonts w:ascii="Calibri" w:hAnsi="Calibri" w:cs="Calibri"/>
          <w:noProof/>
          <w:sz w:val="24"/>
        </w:rPr>
        <w:tab/>
        <w:t xml:space="preserve">Mukhalalati BA, Taylor A. Adult Learning Theories in Context: A Quick Guide for Healthcare Professional Educators. </w:t>
      </w:r>
      <w:r w:rsidRPr="005E797F">
        <w:rPr>
          <w:rFonts w:ascii="Calibri" w:hAnsi="Calibri" w:cs="Calibri"/>
          <w:i/>
          <w:iCs/>
          <w:noProof/>
          <w:sz w:val="24"/>
        </w:rPr>
        <w:t>J Med Educ Curric Dev</w:t>
      </w:r>
      <w:r w:rsidRPr="005E797F">
        <w:rPr>
          <w:rFonts w:ascii="Calibri" w:hAnsi="Calibri" w:cs="Calibri"/>
          <w:noProof/>
          <w:sz w:val="24"/>
        </w:rPr>
        <w:t>. 2019;6:238212051984033. doi:10.1177/2382120519840332</w:t>
      </w:r>
    </w:p>
    <w:p w14:paraId="2B85E01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32.</w:t>
      </w:r>
      <w:r w:rsidRPr="005E797F">
        <w:rPr>
          <w:rFonts w:ascii="Calibri" w:hAnsi="Calibri" w:cs="Calibri"/>
          <w:noProof/>
          <w:sz w:val="24"/>
        </w:rPr>
        <w:tab/>
        <w:t xml:space="preserve">May CR, Johnson M, Finch T. Implementation, context and complexity. </w:t>
      </w:r>
      <w:r w:rsidRPr="005E797F">
        <w:rPr>
          <w:rFonts w:ascii="Calibri" w:hAnsi="Calibri" w:cs="Calibri"/>
          <w:i/>
          <w:iCs/>
          <w:noProof/>
          <w:sz w:val="24"/>
        </w:rPr>
        <w:t>Implement Sci</w:t>
      </w:r>
      <w:r w:rsidRPr="005E797F">
        <w:rPr>
          <w:rFonts w:ascii="Calibri" w:hAnsi="Calibri" w:cs="Calibri"/>
          <w:noProof/>
          <w:sz w:val="24"/>
        </w:rPr>
        <w:t>. 2016;11(1):141. doi:10.1186/s13012-016-0506-3</w:t>
      </w:r>
    </w:p>
    <w:p w14:paraId="49F377D9"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33.</w:t>
      </w:r>
      <w:r w:rsidRPr="005E797F">
        <w:rPr>
          <w:rFonts w:ascii="Calibri" w:hAnsi="Calibri" w:cs="Calibri"/>
          <w:noProof/>
          <w:sz w:val="24"/>
        </w:rPr>
        <w:tab/>
        <w:t xml:space="preserve">Atkins L, Francis J, Islam R, et al. A guide to using the Theoretical Domains Framework of behaviour change to investigate implementation problems. </w:t>
      </w:r>
      <w:r w:rsidRPr="005E797F">
        <w:rPr>
          <w:rFonts w:ascii="Calibri" w:hAnsi="Calibri" w:cs="Calibri"/>
          <w:i/>
          <w:iCs/>
          <w:noProof/>
          <w:sz w:val="24"/>
        </w:rPr>
        <w:t>Implement Sci</w:t>
      </w:r>
      <w:r w:rsidRPr="005E797F">
        <w:rPr>
          <w:rFonts w:ascii="Calibri" w:hAnsi="Calibri" w:cs="Calibri"/>
          <w:noProof/>
          <w:sz w:val="24"/>
        </w:rPr>
        <w:t>. 2017;12(1):1-18. doi:10.1186/s13012-017-0605-9</w:t>
      </w:r>
    </w:p>
    <w:p w14:paraId="1C49AC55"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34.</w:t>
      </w:r>
      <w:r w:rsidRPr="005E797F">
        <w:rPr>
          <w:rFonts w:ascii="Calibri" w:hAnsi="Calibri" w:cs="Calibri"/>
          <w:noProof/>
          <w:sz w:val="24"/>
        </w:rPr>
        <w:tab/>
        <w:t xml:space="preserve">Damschroder LJ, Reardon CM, Opra Widerquist MA, Lowery J. Conceptualizing outcomes for use with the Consolidated Framework for Implementation Research (CFIR): the CFIR Outcomes Addendum. </w:t>
      </w:r>
      <w:r w:rsidRPr="005E797F">
        <w:rPr>
          <w:rFonts w:ascii="Calibri" w:hAnsi="Calibri" w:cs="Calibri"/>
          <w:i/>
          <w:iCs/>
          <w:noProof/>
          <w:sz w:val="24"/>
        </w:rPr>
        <w:t>Implement Sci</w:t>
      </w:r>
      <w:r w:rsidRPr="005E797F">
        <w:rPr>
          <w:rFonts w:ascii="Calibri" w:hAnsi="Calibri" w:cs="Calibri"/>
          <w:noProof/>
          <w:sz w:val="24"/>
        </w:rPr>
        <w:t>. 2022;17(1):1-10. doi:10.1186/s13012-021-01181-5</w:t>
      </w:r>
    </w:p>
    <w:p w14:paraId="5164ECF4"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35.</w:t>
      </w:r>
      <w:r w:rsidRPr="005E797F">
        <w:rPr>
          <w:rFonts w:ascii="Calibri" w:hAnsi="Calibri" w:cs="Calibri"/>
          <w:noProof/>
          <w:sz w:val="24"/>
        </w:rPr>
        <w:tab/>
        <w:t xml:space="preserve">Pfadenhauer LM, Gerhardus A, Mozygemba K, et al. Making sense of complexity in context and implementation: The Context and Implementation of Complex Interventions (CICI) framework. </w:t>
      </w:r>
      <w:r w:rsidRPr="005E797F">
        <w:rPr>
          <w:rFonts w:ascii="Calibri" w:hAnsi="Calibri" w:cs="Calibri"/>
          <w:i/>
          <w:iCs/>
          <w:noProof/>
          <w:sz w:val="24"/>
        </w:rPr>
        <w:t>Implement Sci</w:t>
      </w:r>
      <w:r w:rsidRPr="005E797F">
        <w:rPr>
          <w:rFonts w:ascii="Calibri" w:hAnsi="Calibri" w:cs="Calibri"/>
          <w:noProof/>
          <w:sz w:val="24"/>
        </w:rPr>
        <w:t>. Published online 2017. doi:10.1186/s13012-017-0552-5</w:t>
      </w:r>
    </w:p>
    <w:p w14:paraId="27E32FB3"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36.</w:t>
      </w:r>
      <w:r w:rsidRPr="005E797F">
        <w:rPr>
          <w:rFonts w:ascii="Calibri" w:hAnsi="Calibri" w:cs="Calibri"/>
          <w:noProof/>
          <w:sz w:val="24"/>
        </w:rPr>
        <w:tab/>
        <w:t xml:space="preserve">Damschroder LJ, Aron DC, Keith RE, Kirsh SR, Alexander JA, Lowery JC. Fostering implementation of health services research findings into practice: A consolidated framework for advancing implementation science. </w:t>
      </w:r>
      <w:r w:rsidRPr="005E797F">
        <w:rPr>
          <w:rFonts w:ascii="Calibri" w:hAnsi="Calibri" w:cs="Calibri"/>
          <w:i/>
          <w:iCs/>
          <w:noProof/>
          <w:sz w:val="24"/>
        </w:rPr>
        <w:t>Implement Sci</w:t>
      </w:r>
      <w:r w:rsidRPr="005E797F">
        <w:rPr>
          <w:rFonts w:ascii="Calibri" w:hAnsi="Calibri" w:cs="Calibri"/>
          <w:noProof/>
          <w:sz w:val="24"/>
        </w:rPr>
        <w:t>. 2009;4(1):1-15. doi:10.1186/1748-5908-4-50</w:t>
      </w:r>
    </w:p>
    <w:p w14:paraId="51A99E73"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37.</w:t>
      </w:r>
      <w:r w:rsidRPr="005E797F">
        <w:rPr>
          <w:rFonts w:ascii="Calibri" w:hAnsi="Calibri" w:cs="Calibri"/>
          <w:noProof/>
          <w:sz w:val="24"/>
        </w:rPr>
        <w:tab/>
        <w:t xml:space="preserve">Nilsen P. Making sense of implementation theories, models and frameworks. </w:t>
      </w:r>
      <w:r w:rsidRPr="005E797F">
        <w:rPr>
          <w:rFonts w:ascii="Calibri" w:hAnsi="Calibri" w:cs="Calibri"/>
          <w:i/>
          <w:iCs/>
          <w:noProof/>
          <w:sz w:val="24"/>
        </w:rPr>
        <w:t>Implement Sci</w:t>
      </w:r>
      <w:r w:rsidRPr="005E797F">
        <w:rPr>
          <w:rFonts w:ascii="Calibri" w:hAnsi="Calibri" w:cs="Calibri"/>
          <w:noProof/>
          <w:sz w:val="24"/>
        </w:rPr>
        <w:t>. 2015;10(1). doi:10.1186/s13012-015-0242-0</w:t>
      </w:r>
    </w:p>
    <w:p w14:paraId="733072FF"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38.</w:t>
      </w:r>
      <w:r w:rsidRPr="005E797F">
        <w:rPr>
          <w:rFonts w:ascii="Calibri" w:hAnsi="Calibri" w:cs="Calibri"/>
          <w:noProof/>
          <w:sz w:val="24"/>
        </w:rPr>
        <w:tab/>
        <w:t xml:space="preserve">May C, Finch T, Mair F, et al. Understanding the implementation of complex interventions in health care: The normalization process model. </w:t>
      </w:r>
      <w:r w:rsidRPr="005E797F">
        <w:rPr>
          <w:rFonts w:ascii="Calibri" w:hAnsi="Calibri" w:cs="Calibri"/>
          <w:i/>
          <w:iCs/>
          <w:noProof/>
          <w:sz w:val="24"/>
        </w:rPr>
        <w:t>BMC Health Serv Res</w:t>
      </w:r>
      <w:r w:rsidRPr="005E797F">
        <w:rPr>
          <w:rFonts w:ascii="Calibri" w:hAnsi="Calibri" w:cs="Calibri"/>
          <w:noProof/>
          <w:sz w:val="24"/>
        </w:rPr>
        <w:t>. Published online 2007. doi:10.1186/1472-6963-7-148</w:t>
      </w:r>
    </w:p>
    <w:p w14:paraId="24B89CF2"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39.</w:t>
      </w:r>
      <w:r w:rsidRPr="005E797F">
        <w:rPr>
          <w:rFonts w:ascii="Calibri" w:hAnsi="Calibri" w:cs="Calibri"/>
          <w:noProof/>
          <w:sz w:val="24"/>
        </w:rPr>
        <w:tab/>
        <w:t xml:space="preserve">Carroll C, Patterson M, Wood S, Booth A, Rick J, Balain S. A conceptual framework for implementation fidelity. </w:t>
      </w:r>
      <w:r w:rsidRPr="005E797F">
        <w:rPr>
          <w:rFonts w:ascii="Calibri" w:hAnsi="Calibri" w:cs="Calibri"/>
          <w:i/>
          <w:iCs/>
          <w:noProof/>
          <w:sz w:val="24"/>
        </w:rPr>
        <w:t>Implement Sci</w:t>
      </w:r>
      <w:r w:rsidRPr="005E797F">
        <w:rPr>
          <w:rFonts w:ascii="Calibri" w:hAnsi="Calibri" w:cs="Calibri"/>
          <w:noProof/>
          <w:sz w:val="24"/>
        </w:rPr>
        <w:t>. 2007;2(1):1-9. doi:10.1186/1748-5908-2-40</w:t>
      </w:r>
    </w:p>
    <w:p w14:paraId="5969B093"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40.</w:t>
      </w:r>
      <w:r w:rsidRPr="005E797F">
        <w:rPr>
          <w:rFonts w:ascii="Calibri" w:hAnsi="Calibri" w:cs="Calibri"/>
          <w:noProof/>
          <w:sz w:val="24"/>
        </w:rPr>
        <w:tab/>
        <w:t xml:space="preserve">Bauer MS, Kirchner J. Implementation science: What is it and why should I care? </w:t>
      </w:r>
      <w:r w:rsidRPr="005E797F">
        <w:rPr>
          <w:rFonts w:ascii="Calibri" w:hAnsi="Calibri" w:cs="Calibri"/>
          <w:i/>
          <w:iCs/>
          <w:noProof/>
          <w:sz w:val="24"/>
        </w:rPr>
        <w:t>Psychiatry Res</w:t>
      </w:r>
      <w:r w:rsidRPr="005E797F">
        <w:rPr>
          <w:rFonts w:ascii="Calibri" w:hAnsi="Calibri" w:cs="Calibri"/>
          <w:noProof/>
          <w:sz w:val="24"/>
        </w:rPr>
        <w:t>. 2020;283:112376. doi:10.1016/j.psychres.2019.04.025</w:t>
      </w:r>
    </w:p>
    <w:p w14:paraId="46A7EE3D"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41.</w:t>
      </w:r>
      <w:r w:rsidRPr="005E797F">
        <w:rPr>
          <w:rFonts w:ascii="Calibri" w:hAnsi="Calibri" w:cs="Calibri"/>
          <w:noProof/>
          <w:sz w:val="24"/>
        </w:rPr>
        <w:tab/>
        <w:t xml:space="preserve">Hailemariam M, Bustos T, Montgomery B, Barajas R, Evans LB, Drahota A. Evidence-based intervention sustainability strategies: A systematic review. </w:t>
      </w:r>
      <w:r w:rsidRPr="005E797F">
        <w:rPr>
          <w:rFonts w:ascii="Calibri" w:hAnsi="Calibri" w:cs="Calibri"/>
          <w:i/>
          <w:iCs/>
          <w:noProof/>
          <w:sz w:val="24"/>
        </w:rPr>
        <w:t>Implement Sci</w:t>
      </w:r>
      <w:r w:rsidRPr="005E797F">
        <w:rPr>
          <w:rFonts w:ascii="Calibri" w:hAnsi="Calibri" w:cs="Calibri"/>
          <w:noProof/>
          <w:sz w:val="24"/>
        </w:rPr>
        <w:t>. 2019;14(1):1-12. doi:10.1186/s13012-019-0910-6</w:t>
      </w:r>
    </w:p>
    <w:p w14:paraId="336B7726"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42.</w:t>
      </w:r>
      <w:r w:rsidRPr="005E797F">
        <w:rPr>
          <w:rFonts w:ascii="Calibri" w:hAnsi="Calibri" w:cs="Calibri"/>
          <w:noProof/>
          <w:sz w:val="24"/>
        </w:rPr>
        <w:tab/>
        <w:t xml:space="preserve">Itchhaporia D. The Evolution of the Quintuple Aim. </w:t>
      </w:r>
      <w:r w:rsidRPr="005E797F">
        <w:rPr>
          <w:rFonts w:ascii="Calibri" w:hAnsi="Calibri" w:cs="Calibri"/>
          <w:i/>
          <w:iCs/>
          <w:noProof/>
          <w:sz w:val="24"/>
        </w:rPr>
        <w:t>J Am Coll Cardiol</w:t>
      </w:r>
      <w:r w:rsidRPr="005E797F">
        <w:rPr>
          <w:rFonts w:ascii="Calibri" w:hAnsi="Calibri" w:cs="Calibri"/>
          <w:noProof/>
          <w:sz w:val="24"/>
        </w:rPr>
        <w:t>. 2021;78(22):2262-2264. doi:10.1016/j.jacc.2021.10.018</w:t>
      </w:r>
    </w:p>
    <w:p w14:paraId="3CC6B03E" w14:textId="77777777" w:rsidR="005E797F" w:rsidRPr="005E797F" w:rsidRDefault="005E797F" w:rsidP="005E797F">
      <w:pPr>
        <w:widowControl w:val="0"/>
        <w:autoSpaceDE w:val="0"/>
        <w:autoSpaceDN w:val="0"/>
        <w:adjustRightInd w:val="0"/>
        <w:spacing w:line="240" w:lineRule="auto"/>
        <w:ind w:left="640" w:hanging="640"/>
        <w:rPr>
          <w:rFonts w:ascii="Calibri" w:hAnsi="Calibri" w:cs="Calibri"/>
          <w:noProof/>
          <w:sz w:val="24"/>
        </w:rPr>
      </w:pPr>
      <w:r w:rsidRPr="005E797F">
        <w:rPr>
          <w:rFonts w:ascii="Calibri" w:hAnsi="Calibri" w:cs="Calibri"/>
          <w:noProof/>
          <w:sz w:val="24"/>
        </w:rPr>
        <w:t>43.</w:t>
      </w:r>
      <w:r w:rsidRPr="005E797F">
        <w:rPr>
          <w:rFonts w:ascii="Calibri" w:hAnsi="Calibri" w:cs="Calibri"/>
          <w:noProof/>
          <w:sz w:val="24"/>
        </w:rPr>
        <w:tab/>
        <w:t xml:space="preserve">Nundy S, Cooper LA, Mate KS. The Quintuple Aim for Health Care Improvement: A New Imperative to Advance Health Equity. </w:t>
      </w:r>
      <w:r w:rsidRPr="005E797F">
        <w:rPr>
          <w:rFonts w:ascii="Calibri" w:hAnsi="Calibri" w:cs="Calibri"/>
          <w:i/>
          <w:iCs/>
          <w:noProof/>
          <w:sz w:val="24"/>
        </w:rPr>
        <w:t>JAMA</w:t>
      </w:r>
      <w:r w:rsidRPr="005E797F">
        <w:rPr>
          <w:rFonts w:ascii="Calibri" w:hAnsi="Calibri" w:cs="Calibri"/>
          <w:noProof/>
          <w:sz w:val="24"/>
        </w:rPr>
        <w:t>. 2022;327(6):521-522. doi:10.1001/jama.2021.25181</w:t>
      </w:r>
    </w:p>
    <w:p w14:paraId="796681A3" w14:textId="74AE2929" w:rsidR="007F13DD" w:rsidRPr="007F13DD" w:rsidRDefault="0060091D" w:rsidP="007F13DD">
      <w:pPr>
        <w:rPr>
          <w:rFonts w:eastAsia="Times New Roman" w:cstheme="minorHAnsi"/>
          <w:bCs/>
          <w:sz w:val="24"/>
          <w:szCs w:val="24"/>
          <w:lang w:eastAsia="en-CA"/>
        </w:rPr>
      </w:pPr>
      <w:r>
        <w:rPr>
          <w:rFonts w:eastAsia="Times New Roman" w:cstheme="minorHAnsi"/>
          <w:bCs/>
          <w:sz w:val="24"/>
          <w:szCs w:val="24"/>
          <w:lang w:eastAsia="en-CA"/>
        </w:rPr>
        <w:fldChar w:fldCharType="end"/>
      </w:r>
    </w:p>
    <w:p w14:paraId="08150464" w14:textId="77777777" w:rsidR="00ED166F" w:rsidRPr="008464D0" w:rsidRDefault="00ED166F" w:rsidP="00ED166F">
      <w:pPr>
        <w:ind w:left="360"/>
        <w:rPr>
          <w:rFonts w:eastAsia="Times New Roman" w:cstheme="minorHAnsi"/>
          <w:bCs/>
          <w:sz w:val="24"/>
          <w:szCs w:val="24"/>
          <w:lang w:eastAsia="en-CA"/>
        </w:rPr>
      </w:pPr>
    </w:p>
    <w:p w14:paraId="23D85FD4" w14:textId="77777777" w:rsidR="00ED166F" w:rsidRPr="00524794" w:rsidRDefault="00ED166F" w:rsidP="00524794">
      <w:pPr>
        <w:rPr>
          <w:sz w:val="24"/>
          <w:szCs w:val="24"/>
        </w:rPr>
      </w:pPr>
    </w:p>
    <w:sectPr w:rsidR="00ED166F" w:rsidRPr="00524794" w:rsidSect="007F13DD">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38D47" w14:textId="77777777" w:rsidR="00BA41EF" w:rsidRDefault="00BA41EF" w:rsidP="00AF154E">
      <w:pPr>
        <w:spacing w:after="0" w:line="240" w:lineRule="auto"/>
      </w:pPr>
      <w:r>
        <w:separator/>
      </w:r>
    </w:p>
  </w:endnote>
  <w:endnote w:type="continuationSeparator" w:id="0">
    <w:p w14:paraId="11D2662D" w14:textId="77777777" w:rsidR="00BA41EF" w:rsidRDefault="00BA41EF" w:rsidP="00AF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612035"/>
      <w:docPartObj>
        <w:docPartGallery w:val="Page Numbers (Bottom of Page)"/>
        <w:docPartUnique/>
      </w:docPartObj>
    </w:sdtPr>
    <w:sdtEndPr>
      <w:rPr>
        <w:noProof/>
      </w:rPr>
    </w:sdtEndPr>
    <w:sdtContent>
      <w:p w14:paraId="11CEC7CB" w14:textId="6CC69BB9" w:rsidR="00524794" w:rsidRDefault="005247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D1C4B" w14:textId="77777777" w:rsidR="00AF154E" w:rsidRDefault="00AF1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387B" w14:textId="77777777" w:rsidR="00BA41EF" w:rsidRDefault="00BA41EF" w:rsidP="00AF154E">
      <w:pPr>
        <w:spacing w:after="0" w:line="240" w:lineRule="auto"/>
      </w:pPr>
      <w:r>
        <w:separator/>
      </w:r>
    </w:p>
  </w:footnote>
  <w:footnote w:type="continuationSeparator" w:id="0">
    <w:p w14:paraId="4F54EE63" w14:textId="77777777" w:rsidR="00BA41EF" w:rsidRDefault="00BA41EF" w:rsidP="00AF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41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65FAF"/>
    <w:multiLevelType w:val="hybridMultilevel"/>
    <w:tmpl w:val="201634AC"/>
    <w:lvl w:ilvl="0" w:tplc="1009000F">
      <w:start w:val="1"/>
      <w:numFmt w:val="decimal"/>
      <w:lvlText w:val="%1."/>
      <w:lvlJc w:val="left"/>
      <w:pPr>
        <w:ind w:left="644"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15669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9919FA"/>
    <w:multiLevelType w:val="hybridMultilevel"/>
    <w:tmpl w:val="D05E5C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DB7A35"/>
    <w:multiLevelType w:val="multilevel"/>
    <w:tmpl w:val="10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43721B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AE2BA3"/>
    <w:multiLevelType w:val="multilevel"/>
    <w:tmpl w:val="89947EA4"/>
    <w:lvl w:ilvl="0">
      <w:start w:val="1"/>
      <w:numFmt w:val="decimal"/>
      <w:lvlText w:val="%1."/>
      <w:lvlJc w:val="left"/>
      <w:pPr>
        <w:ind w:left="360" w:hanging="360"/>
      </w:p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E46570"/>
    <w:multiLevelType w:val="multilevel"/>
    <w:tmpl w:val="10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FD84935"/>
    <w:multiLevelType w:val="hybridMultilevel"/>
    <w:tmpl w:val="4D0A06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3185152">
    <w:abstractNumId w:val="1"/>
  </w:num>
  <w:num w:numId="2" w16cid:durableId="316763354">
    <w:abstractNumId w:val="5"/>
  </w:num>
  <w:num w:numId="3" w16cid:durableId="2030134345">
    <w:abstractNumId w:val="2"/>
  </w:num>
  <w:num w:numId="4" w16cid:durableId="1603806063">
    <w:abstractNumId w:val="0"/>
  </w:num>
  <w:num w:numId="5" w16cid:durableId="1556235681">
    <w:abstractNumId w:val="3"/>
  </w:num>
  <w:num w:numId="6" w16cid:durableId="50616064">
    <w:abstractNumId w:val="8"/>
  </w:num>
  <w:num w:numId="7" w16cid:durableId="1407848201">
    <w:abstractNumId w:val="6"/>
  </w:num>
  <w:num w:numId="8" w16cid:durableId="1232690292">
    <w:abstractNumId w:val="7"/>
  </w:num>
  <w:num w:numId="9" w16cid:durableId="1155873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EE"/>
    <w:rsid w:val="00033BA1"/>
    <w:rsid w:val="0008719F"/>
    <w:rsid w:val="000C5C2E"/>
    <w:rsid w:val="00142978"/>
    <w:rsid w:val="001542C5"/>
    <w:rsid w:val="001E2C25"/>
    <w:rsid w:val="001E6244"/>
    <w:rsid w:val="0021407B"/>
    <w:rsid w:val="00240511"/>
    <w:rsid w:val="00241697"/>
    <w:rsid w:val="002447EF"/>
    <w:rsid w:val="002B1059"/>
    <w:rsid w:val="002F13D3"/>
    <w:rsid w:val="00301510"/>
    <w:rsid w:val="00305635"/>
    <w:rsid w:val="003306DD"/>
    <w:rsid w:val="00343FC5"/>
    <w:rsid w:val="00387274"/>
    <w:rsid w:val="003B161D"/>
    <w:rsid w:val="003D0A90"/>
    <w:rsid w:val="003F20E1"/>
    <w:rsid w:val="0040209B"/>
    <w:rsid w:val="00432B78"/>
    <w:rsid w:val="00480157"/>
    <w:rsid w:val="004971D4"/>
    <w:rsid w:val="004C383F"/>
    <w:rsid w:val="00524794"/>
    <w:rsid w:val="00524913"/>
    <w:rsid w:val="00524EF6"/>
    <w:rsid w:val="00562FC5"/>
    <w:rsid w:val="005B6734"/>
    <w:rsid w:val="005C2142"/>
    <w:rsid w:val="005C6380"/>
    <w:rsid w:val="005C6D55"/>
    <w:rsid w:val="005D18A4"/>
    <w:rsid w:val="005D7CF3"/>
    <w:rsid w:val="005E755C"/>
    <w:rsid w:val="005E797F"/>
    <w:rsid w:val="0060091D"/>
    <w:rsid w:val="00654611"/>
    <w:rsid w:val="006B505B"/>
    <w:rsid w:val="006D2709"/>
    <w:rsid w:val="006D3AF2"/>
    <w:rsid w:val="006E4EA2"/>
    <w:rsid w:val="00702B2C"/>
    <w:rsid w:val="00720236"/>
    <w:rsid w:val="0072053D"/>
    <w:rsid w:val="007471E6"/>
    <w:rsid w:val="007526FB"/>
    <w:rsid w:val="00754A6B"/>
    <w:rsid w:val="00792906"/>
    <w:rsid w:val="007B2FC9"/>
    <w:rsid w:val="007F13DD"/>
    <w:rsid w:val="00800E19"/>
    <w:rsid w:val="00801BC6"/>
    <w:rsid w:val="00845E74"/>
    <w:rsid w:val="008464D0"/>
    <w:rsid w:val="00881FCB"/>
    <w:rsid w:val="008961AE"/>
    <w:rsid w:val="008C427C"/>
    <w:rsid w:val="008E1271"/>
    <w:rsid w:val="008E1DC7"/>
    <w:rsid w:val="008F01C5"/>
    <w:rsid w:val="008F16B5"/>
    <w:rsid w:val="00920312"/>
    <w:rsid w:val="00950FDD"/>
    <w:rsid w:val="009C2A8F"/>
    <w:rsid w:val="009C34DA"/>
    <w:rsid w:val="009D09EE"/>
    <w:rsid w:val="00A1094A"/>
    <w:rsid w:val="00AE3028"/>
    <w:rsid w:val="00AF154E"/>
    <w:rsid w:val="00BA41EF"/>
    <w:rsid w:val="00BF2F55"/>
    <w:rsid w:val="00C1523B"/>
    <w:rsid w:val="00C51C6C"/>
    <w:rsid w:val="00CA2704"/>
    <w:rsid w:val="00CD5BAD"/>
    <w:rsid w:val="00CD7C21"/>
    <w:rsid w:val="00D4692F"/>
    <w:rsid w:val="00D679DD"/>
    <w:rsid w:val="00D94444"/>
    <w:rsid w:val="00E03EDF"/>
    <w:rsid w:val="00E54162"/>
    <w:rsid w:val="00E772CD"/>
    <w:rsid w:val="00ED166F"/>
    <w:rsid w:val="00ED34DB"/>
    <w:rsid w:val="00F7045D"/>
    <w:rsid w:val="00F718DB"/>
    <w:rsid w:val="00F933AF"/>
    <w:rsid w:val="00FB545C"/>
    <w:rsid w:val="00FC7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F01B"/>
  <w15:chartTrackingRefBased/>
  <w15:docId w15:val="{B9CB6524-97C1-4935-9B52-C4E08DA8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9EE"/>
    <w:pPr>
      <w:ind w:left="720"/>
      <w:contextualSpacing/>
    </w:pPr>
  </w:style>
  <w:style w:type="paragraph" w:styleId="Header">
    <w:name w:val="header"/>
    <w:basedOn w:val="Normal"/>
    <w:link w:val="HeaderChar"/>
    <w:uiPriority w:val="99"/>
    <w:unhideWhenUsed/>
    <w:rsid w:val="00AF1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54E"/>
  </w:style>
  <w:style w:type="paragraph" w:styleId="Footer">
    <w:name w:val="footer"/>
    <w:basedOn w:val="Normal"/>
    <w:link w:val="FooterChar"/>
    <w:uiPriority w:val="99"/>
    <w:unhideWhenUsed/>
    <w:rsid w:val="00AF1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AF8C-3E67-42D5-B6FD-4702638C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20909</Words>
  <Characters>119185</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Christine MacDermid</dc:creator>
  <cp:keywords/>
  <dc:description/>
  <cp:lastModifiedBy>Joy Christine MacDermid</cp:lastModifiedBy>
  <cp:revision>3</cp:revision>
  <dcterms:created xsi:type="dcterms:W3CDTF">2023-04-17T15:18:00Z</dcterms:created>
  <dcterms:modified xsi:type="dcterms:W3CDTF">2023-06-17T15:09:00Z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http://www.zotero.org/styles/journal-of-hand-therapy</vt:lpwstr>
  </property>
  <property fmtid="{D5CDD505-2E9C-101B-9397-08002B2CF9AE}" pid="13" name="Mendeley Recent Style Name 5_1">
    <vt:lpwstr>Journal of Hand Therapy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ee32c429-6791-363b-801f-c6a08fbbbd16</vt:lpwstr>
  </property>
  <property fmtid="{D5CDD505-2E9C-101B-9397-08002B2CF9AE}" pid="24" name="Mendeley Citation Style_1">
    <vt:lpwstr>http://www.zotero.org/styles/journal-of-hand-therapy</vt:lpwstr>
  </property>
</Properties>
</file>